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5B0E8282">
      <w:pPr>
        <w:tabs>
          <w:tab w:val="left" w:pos="3804"/>
        </w:tabs>
        <w:spacing w:before="312" w:beforeLines="100" w:after="312" w:afterLines="100" w:line="480" w:lineRule="auto"/>
        <w:rPr>
          <w:sz w:val="24"/>
        </w:rPr>
      </w:pPr>
      <w:r>
        <w:rPr>
          <w:rFonts w:ascii="黑体" w:hAnsi="宋体" w:eastAsia="黑体"/>
          <w:color w:val="FFFFFF"/>
          <w:sz w:val="28"/>
        </w:rPr>
        <mc:AlternateContent>
          <mc:Choice Requires="wps">
            <w:drawing>
              <wp:anchor distT="0" distB="0" distL="0" distR="0" simplePos="0" relativeHeight="251659264" behindDoc="0" locked="0" layoutInCell="1" allowOverlap="1">
                <wp:simplePos x="0" y="0"/>
                <wp:positionH relativeFrom="margin">
                  <wp:posOffset>-544830</wp:posOffset>
                </wp:positionH>
                <wp:positionV relativeFrom="paragraph">
                  <wp:posOffset>-374015</wp:posOffset>
                </wp:positionV>
                <wp:extent cx="6892925" cy="396240"/>
                <wp:effectExtent l="0" t="0" r="0" b="3810"/>
                <wp:wrapNone/>
                <wp:docPr id="1027" name="Text Box 2"/>
                <wp:cNvGraphicFramePr/>
                <a:graphic xmlns:a="http://schemas.openxmlformats.org/drawingml/2006/main">
                  <a:graphicData uri="http://schemas.microsoft.com/office/word/2010/wordprocessingShape">
                    <wps:wsp>
                      <wps:cNvSpPr/>
                      <wps:spPr>
                        <a:xfrm>
                          <a:off x="0" y="0"/>
                          <a:ext cx="6892925" cy="396240"/>
                        </a:xfrm>
                        <a:prstGeom prst="rect">
                          <a:avLst/>
                        </a:prstGeom>
                        <a:ln>
                          <a:noFill/>
                        </a:ln>
                      </wps:spPr>
                      <wps:txbx>
                        <w:txbxContent>
                          <w:p w14:paraId="0118BCB5">
                            <w:pPr>
                              <w:rPr>
                                <w:rFonts w:ascii="黑体" w:eastAsia="黑体"/>
                                <w:sz w:val="28"/>
                              </w:rPr>
                            </w:pPr>
                            <w:r>
                              <w:rPr>
                                <w:rFonts w:hint="eastAsia" w:ascii="黑体" w:hAnsi="Arial Black" w:eastAsia="黑体"/>
                                <w:color w:val="FFFFFF"/>
                                <w:sz w:val="28"/>
                              </w:rPr>
                              <w:t xml:space="preserve">交易咨询：0571-85165192，85058093             </w:t>
                            </w:r>
                            <w:r>
                              <w:rPr>
                                <w:rFonts w:hint="eastAsia" w:ascii="黑体" w:hAnsi="Arial Black" w:eastAsia="黑体"/>
                                <w:color w:val="FFFFFF"/>
                                <w:sz w:val="28"/>
                              </w:rPr>
                              <w:fldChar w:fldCharType="begin"/>
                            </w:r>
                            <w:r>
                              <w:rPr>
                                <w:rFonts w:hint="eastAsia" w:ascii="黑体" w:hAnsi="Arial Black" w:eastAsia="黑体"/>
                                <w:color w:val="FFFFFF"/>
                                <w:sz w:val="28"/>
                              </w:rPr>
                              <w:instrText xml:space="preserve"> TIME \@ "yyyy年M月d日星期W"</w:instrText>
                            </w:r>
                            <w:r>
                              <w:rPr>
                                <w:rFonts w:hint="eastAsia" w:ascii="黑体" w:hAnsi="Arial Black" w:eastAsia="黑体"/>
                                <w:color w:val="FFFFFF"/>
                                <w:sz w:val="28"/>
                              </w:rPr>
                              <w:fldChar w:fldCharType="separate"/>
                            </w:r>
                            <w:r>
                              <w:rPr>
                                <w:rFonts w:hint="eastAsia" w:ascii="黑体" w:hAnsi="Arial Black" w:eastAsia="黑体"/>
                                <w:color w:val="FFFFFF"/>
                                <w:sz w:val="28"/>
                              </w:rPr>
                              <w:t>2025年3月13日星期四</w:t>
                            </w:r>
                            <w:r>
                              <w:rPr>
                                <w:rFonts w:hint="eastAsia" w:ascii="黑体" w:hAnsi="Arial Black" w:eastAsia="黑体"/>
                                <w:color w:val="FFFFFF"/>
                                <w:sz w:val="28"/>
                              </w:rPr>
                              <w:fldChar w:fldCharType="end"/>
                            </w:r>
                          </w:p>
                        </w:txbxContent>
                      </wps:txbx>
                      <wps:bodyPr wrap="square" upright="1"/>
                    </wps:wsp>
                  </a:graphicData>
                </a:graphic>
              </wp:anchor>
            </w:drawing>
          </mc:Choice>
          <mc:Fallback>
            <w:pict>
              <v:rect id="Text Box 2" o:spid="_x0000_s1026" o:spt="1" style="position:absolute;left:0pt;margin-left:-42.9pt;margin-top:-29.45pt;height:31.2pt;width:542.75pt;mso-position-horizontal-relative:margin;z-index:251659264;mso-width-relative:page;mso-height-relative:page;" filled="f" stroked="f" coordsize="21600,21600" o:gfxdata="UEsDBAoAAAAAAIdO4kAAAAAAAAAAAAAAAAAEAAAAZHJzL1BLAwQUAAAACACHTuJAdtTI29sAAAAJ&#10;AQAADwAAAGRycy9kb3ducmV2LnhtbE2PQUvDQBCF74L/YRnBi7SbKtEkzaaHglhEKKba8zY7TYLZ&#10;2TS7Teq/dzzpbR7zeO97+epiOzHi4FtHChbzCARS5UxLtYKP3fMsAeGDJqM7R6jgGz2siuurXGfG&#10;TfSOYxlqwSHkM62gCaHPpPRVg1b7ueuR+Hd0g9WB5VBLM+iJw20n76PoUVrdEjc0usd1g9VXebYK&#10;pmo77ndvL3J7t984Om1O6/LzVanbm0W0BBHwEv7M8IvP6FAw08GdyXjRKZglMaMHPuIkBcGONE2f&#10;QBwUPMQgi1z+X1D8AFBLAwQUAAAACACHTuJAg+ndeaMBAABJAwAADgAAAGRycy9lMm9Eb2MueG1s&#10;rVNNb9swDL0P2H8QdG/kuGvWGHEKDEF3KbYCbX+AIsuxAOtjpBI7/36U7KVFe+lhF5oUqUe+R3lz&#10;N9qenTSg8a7my0XBmXbKN8Ydav7yfH91yxlG6RrZe6drftbI77Zfv2yGUOnSd75vNDACcVgNoeZd&#10;jKESAlWnrcSFD9pRsvVgZaQQDqIBORC67UVZFCsxeGgCeKUR6XQ3JfmMCJ8B9G1rlN55dbTaxQkV&#10;dC8jUcLOBOTbPG3bahV/ty3qyPqaE9OYLTUhf5+s2G5kdQAZOqPmEeRnRnjHyUrjqOkFaiejZEcw&#10;H6CsUeDRt3GhvBUTkawIsVgW77R56mTQmQtJjeEiOv4/WPXr9AjMNPQSivI7Z05a2vmzHiP74UdW&#10;JoGGgBXVPYVHmCMkN7EdW7DpSzzYmEU9X0RNEIoOV7frcl3ecKYod71eld+y6uL1dgCMP7W3LDk1&#10;B1pa1lKeHjBSRyr9V5Ka9S5Z5+9N30/ZdCLSlNNcyYvjfpyH3fvmTBwHWnLN8c9RgubsGMAcOuq2&#10;TAzzZVI495pfQ1rh2zhXvf4B279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B21Mjb2wAAAAkBAAAP&#10;AAAAAAAAAAEAIAAAACIAAABkcnMvZG93bnJldi54bWxQSwECFAAUAAAACACHTuJAg+ndeaMBAABJ&#10;AwAADgAAAAAAAAABACAAAAAqAQAAZHJzL2Uyb0RvYy54bWxQSwUGAAAAAAYABgBZAQAAPwUAAAAA&#10;">
                <v:fill on="f" focussize="0,0"/>
                <v:stroke on="f"/>
                <v:imagedata o:title=""/>
                <o:lock v:ext="edit" aspectratio="f"/>
                <v:textbox>
                  <w:txbxContent>
                    <w:p w14:paraId="0118BCB5">
                      <w:pPr>
                        <w:rPr>
                          <w:rFonts w:ascii="黑体" w:eastAsia="黑体"/>
                          <w:sz w:val="28"/>
                        </w:rPr>
                      </w:pPr>
                      <w:r>
                        <w:rPr>
                          <w:rFonts w:hint="eastAsia" w:ascii="黑体" w:hAnsi="Arial Black" w:eastAsia="黑体"/>
                          <w:color w:val="FFFFFF"/>
                          <w:sz w:val="28"/>
                        </w:rPr>
                        <w:t xml:space="preserve">交易咨询：0571-85165192，85058093             </w:t>
                      </w:r>
                      <w:r>
                        <w:rPr>
                          <w:rFonts w:hint="eastAsia" w:ascii="黑体" w:hAnsi="Arial Black" w:eastAsia="黑体"/>
                          <w:color w:val="FFFFFF"/>
                          <w:sz w:val="28"/>
                        </w:rPr>
                        <w:fldChar w:fldCharType="begin"/>
                      </w:r>
                      <w:r>
                        <w:rPr>
                          <w:rFonts w:hint="eastAsia" w:ascii="黑体" w:hAnsi="Arial Black" w:eastAsia="黑体"/>
                          <w:color w:val="FFFFFF"/>
                          <w:sz w:val="28"/>
                        </w:rPr>
                        <w:instrText xml:space="preserve"> TIME \@ "yyyy年M月d日星期W"</w:instrText>
                      </w:r>
                      <w:r>
                        <w:rPr>
                          <w:rFonts w:hint="eastAsia" w:ascii="黑体" w:hAnsi="Arial Black" w:eastAsia="黑体"/>
                          <w:color w:val="FFFFFF"/>
                          <w:sz w:val="28"/>
                        </w:rPr>
                        <w:fldChar w:fldCharType="separate"/>
                      </w:r>
                      <w:r>
                        <w:rPr>
                          <w:rFonts w:hint="eastAsia" w:ascii="黑体" w:hAnsi="Arial Black" w:eastAsia="黑体"/>
                          <w:color w:val="FFFFFF"/>
                          <w:sz w:val="28"/>
                        </w:rPr>
                        <w:t>2025年3月13日星期四</w:t>
                      </w:r>
                      <w:r>
                        <w:rPr>
                          <w:rFonts w:hint="eastAsia" w:ascii="黑体" w:hAnsi="Arial Black" w:eastAsia="黑体"/>
                          <w:color w:val="FFFFFF"/>
                          <w:sz w:val="28"/>
                        </w:rPr>
                        <w:fldChar w:fldCharType="end"/>
                      </w:r>
                    </w:p>
                  </w:txbxContent>
                </v:textbox>
              </v:rect>
            </w:pict>
          </mc:Fallback>
        </mc:AlternateContent>
      </w:r>
      <w:r>
        <w:rPr>
          <w:rFonts w:ascii="黑体" w:hAnsi="宋体" w:eastAsia="黑体"/>
          <w:color w:val="FFFFFF"/>
          <w:sz w:val="28"/>
        </w:rPr>
        <mc:AlternateContent>
          <mc:Choice Requires="wps">
            <w:drawing>
              <wp:anchor distT="0" distB="0" distL="0" distR="0" simplePos="0" relativeHeight="251659264" behindDoc="1" locked="0" layoutInCell="1" allowOverlap="1">
                <wp:simplePos x="0" y="0"/>
                <wp:positionH relativeFrom="page">
                  <wp:posOffset>-635</wp:posOffset>
                </wp:positionH>
                <wp:positionV relativeFrom="page">
                  <wp:posOffset>1154430</wp:posOffset>
                </wp:positionV>
                <wp:extent cx="8343900" cy="504190"/>
                <wp:effectExtent l="0" t="0" r="0" b="0"/>
                <wp:wrapNone/>
                <wp:docPr id="1028" name="未知"/>
                <wp:cNvGraphicFramePr/>
                <a:graphic xmlns:a="http://schemas.openxmlformats.org/drawingml/2006/main">
                  <a:graphicData uri="http://schemas.microsoft.com/office/word/2010/wordprocessingShape">
                    <wps:wsp>
                      <wps:cNvSpPr/>
                      <wps:spPr>
                        <a:xfrm>
                          <a:off x="0" y="0"/>
                          <a:ext cx="8343900" cy="504190"/>
                        </a:xfrm>
                        <a:custGeom>
                          <a:avLst/>
                          <a:gdLst/>
                          <a:ahLst/>
                          <a:cxnLst/>
                          <a:rect l="l" t="t" r="r" b="b"/>
                          <a:pathLst>
                            <a:path w="10880" h="453">
                              <a:moveTo>
                                <a:pt x="0" y="0"/>
                              </a:moveTo>
                              <a:lnTo>
                                <a:pt x="0" y="453"/>
                              </a:lnTo>
                              <a:lnTo>
                                <a:pt x="10880" y="453"/>
                              </a:lnTo>
                              <a:lnTo>
                                <a:pt x="10880" y="0"/>
                              </a:lnTo>
                              <a:lnTo>
                                <a:pt x="0" y="0"/>
                              </a:lnTo>
                              <a:close/>
                            </a:path>
                          </a:pathLst>
                        </a:custGeom>
                        <a:solidFill>
                          <a:srgbClr val="CC0000">
                            <a:alpha val="74117"/>
                          </a:srgbClr>
                        </a:solidFill>
                        <a:ln>
                          <a:noFill/>
                        </a:ln>
                      </wps:spPr>
                      <wps:bodyPr/>
                    </wps:wsp>
                  </a:graphicData>
                </a:graphic>
              </wp:anchor>
            </w:drawing>
          </mc:Choice>
          <mc:Fallback>
            <w:pict>
              <v:shape id="未知" o:spid="_x0000_s1026" o:spt="100" style="position:absolute;left:0pt;margin-left:-0.05pt;margin-top:90.9pt;height:39.7pt;width:657pt;mso-position-horizontal-relative:page;mso-position-vertical-relative:page;z-index:-251657216;mso-width-relative:page;mso-height-relative:page;" fillcolor="#CC0000" filled="t" stroked="f" coordsize="10880,453" o:gfxdata="UEsDBAoAAAAAAIdO4kAAAAAAAAAAAAAAAAAEAAAAZHJzL1BLAwQUAAAACACHTuJAjAcf9NYAAAAK&#10;AQAADwAAAGRycy9kb3ducmV2LnhtbE2PwU7DMBBE70j8g7VI3FrHKYpCiFMJUG9cEirObrzEaWM7&#10;it3W/D3bExx3ZjT7pt4mO7ELLmH0ToJYZ8DQ9V6PbpCw/9ytSmAhKqfV5B1K+MEA2+b+rlaV9lfX&#10;4qWLA6MSFyolwcQ4V5yH3qBVYe1ndOR9+8WqSOcycL2oK5XbiedZVnCrRkcfjJrxzWB/6s5WQvnR&#10;tan90ua1yHcojk8pvJdJyscHkb0Ai5jiXxhu+IQODTEd/NnpwCYJK0FBkktBC27+RmyegR0k5IXI&#10;gTc1/z+h+QVQSwMEFAAAAAgAh07iQPQi2qUbAgAAsQQAAA4AAABkcnMvZTJvRG9jLnhtbK1UwY7b&#10;IBC9V+o/IO6N7STbzUZx9pBoe6nalXb7AQTjGAkYBCRO/qVST730w9rf6IDtJM1ecqgPZoDh8d6b&#10;sRePB63IXjgvwZS0GOWUCMOhkmZb0m+vTx9mlPjATMUUGFHSo/D0cfn+3aK1czGGBlQlHEEQ4+et&#10;LWkTgp1nmeeN0MyPwAqDmzU4zQJO3TarHGsRXatsnOcfsxZcZR1w4T2urrtN2iO6WwChriUXa+A7&#10;LUzoUJ1QLKAk30jr6TKxrWvBw9e69iIQVVJUGtIbL8F4E9/ZcsHmW8dsI3lPgd1C4UqTZtLgpSeo&#10;NQuM7Jx8A6Uld+ChDiMOOuuEJEdQRZFfefPSMCuSFrTa25Pp/v/B8i/7Z0dkhZ2Qj7Hyhmms+e/v&#10;v/78+BnNaa2fY86LfXb9zGMYlR5qp+OIGsghGXo8GSoOgXBcnE2mk4ccvea4d5dPi4fkeHY+zXc+&#10;fBKQkNj+sw9dQaohYs0Q8YMZQodljQVVqaCBEiyoSwXddAW1LMRzkV4MSRvlzWZIpCnp9G6SSqVh&#10;L14h5YQrBUjwvKvM26yIgUwxb9gdRpuw+ttQ9e2ZgzUD0jB2iMh98PfiVq7Ai45IFJoYncRj3qW9&#10;HpSsnqRSUbJ3281KObJn6ONqleOTTGHKNqxbvZ8WxX2vsk9P+P/gKBPRDETcwRDMim3TNUqMNlAd&#10;U/+kdezkhNN/dfFTuZyn0+c/zfI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jAcf9NYAAAAKAQAA&#10;DwAAAAAAAAABACAAAAAiAAAAZHJzL2Rvd25yZXYueG1sUEsBAhQAFAAAAAgAh07iQPQi2qUbAgAA&#10;sQQAAA4AAAAAAAAAAQAgAAAAJQEAAGRycy9lMm9Eb2MueG1sUEsFBgAAAAAGAAYAWQEAALIFAAAA&#10;AA==&#10;" path="m0,0l0,453,10880,453,10880,0,0,0xe">
                <v:fill on="t" opacity="48573f" focussize="0,0"/>
                <v:stroke on="f"/>
                <v:imagedata o:title=""/>
                <o:lock v:ext="edit" aspectratio="f"/>
              </v:shape>
            </w:pict>
          </mc:Fallback>
        </mc:AlternateContent>
      </w:r>
      <w:bookmarkStart w:id="0" w:name="_Hlk175234707"/>
      <w:r>
        <w:rPr>
          <w:rFonts w:hint="eastAsia" w:ascii="黑体" w:hAnsi="宋体" w:eastAsia="黑体"/>
          <w:color w:val="FFFFFF"/>
          <w:sz w:val="28"/>
        </w:rPr>
        <w:t>· 516519</w:t>
      </w:r>
      <w:bookmarkEnd w:id="0"/>
      <w:r>
        <w:rPr>
          <w:rFonts w:hint="eastAsia" w:ascii="黑体" w:hAnsi="宋体" w:eastAsia="黑体"/>
          <w:color w:val="FFFFFF"/>
          <w:sz w:val="28"/>
        </w:rPr>
        <w:t xml:space="preserve">       </w:t>
      </w:r>
      <w:r>
        <w:rPr>
          <w:rFonts w:hint="eastAsia" w:ascii="宋体" w:hAnsi="宋体"/>
          <w:b/>
          <w:sz w:val="30"/>
        </w:rPr>
        <w:t>新世纪期货交易提示（</w:t>
      </w:r>
      <w:r>
        <w:rPr>
          <w:rFonts w:ascii="宋体" w:hAnsi="宋体"/>
          <w:b/>
          <w:sz w:val="30"/>
        </w:rPr>
        <w:fldChar w:fldCharType="begin"/>
      </w:r>
      <w:r>
        <w:rPr>
          <w:rFonts w:ascii="宋体" w:hAnsi="宋体"/>
          <w:b/>
          <w:sz w:val="30"/>
        </w:rPr>
        <w:instrText xml:space="preserve"> TIME \@ "yyyy-M-d"</w:instrText>
      </w:r>
      <w:r>
        <w:rPr>
          <w:rFonts w:ascii="宋体" w:hAnsi="宋体"/>
          <w:b/>
          <w:sz w:val="30"/>
        </w:rPr>
        <w:fldChar w:fldCharType="separate"/>
      </w:r>
      <w:r>
        <w:rPr>
          <w:rFonts w:ascii="宋体" w:hAnsi="宋体"/>
          <w:b/>
          <w:sz w:val="30"/>
        </w:rPr>
        <w:t>2025-3-13</w:t>
      </w:r>
      <w:r>
        <w:rPr>
          <w:rFonts w:ascii="宋体" w:hAnsi="宋体"/>
          <w:b/>
          <w:sz w:val="30"/>
        </w:rPr>
        <w:fldChar w:fldCharType="end"/>
      </w:r>
      <w:r>
        <w:rPr>
          <w:rFonts w:hint="eastAsia" w:ascii="宋体" w:hAnsi="宋体"/>
          <w:b/>
          <w:sz w:val="30"/>
        </w:rPr>
        <w:t>）</w:t>
      </w:r>
      <w:bookmarkStart w:id="1" w:name="OLE_LINK7"/>
      <w:bookmarkStart w:id="2" w:name="OLE_LINK6"/>
      <w:bookmarkStart w:id="3" w:name="OLE_LINK1"/>
    </w:p>
    <w:tbl>
      <w:tblPr>
        <w:tblStyle w:val="88"/>
        <w:tblW w:w="10086" w:type="dxa"/>
        <w:jc w:val="center"/>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Layout w:type="fixed"/>
        <w:tblCellMar>
          <w:top w:w="0" w:type="dxa"/>
          <w:left w:w="108" w:type="dxa"/>
          <w:bottom w:w="0" w:type="dxa"/>
          <w:right w:w="108" w:type="dxa"/>
        </w:tblCellMar>
      </w:tblPr>
      <w:tblGrid>
        <w:gridCol w:w="631"/>
        <w:gridCol w:w="1397"/>
        <w:gridCol w:w="1254"/>
        <w:gridCol w:w="6804"/>
      </w:tblGrid>
      <w:tr w14:paraId="4953A594">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660" w:hRule="atLeast"/>
          <w:jc w:val="center"/>
        </w:trPr>
        <w:tc>
          <w:tcPr>
            <w:tcW w:w="631" w:type="dxa"/>
            <w:vMerge w:val="restart"/>
            <w:vAlign w:val="center"/>
          </w:tcPr>
          <w:p w14:paraId="1A9A1DF4">
            <w:pPr>
              <w:keepNext w:val="0"/>
              <w:keepLines w:val="0"/>
              <w:suppressLineNumbers w:val="0"/>
              <w:spacing w:before="0" w:beforeAutospacing="0" w:after="0" w:afterAutospacing="0"/>
              <w:ind w:left="0" w:right="0"/>
              <w:jc w:val="center"/>
              <w:rPr>
                <w:rFonts w:hint="default" w:ascii="宋体" w:hAnsi="宋体"/>
                <w:b/>
                <w:sz w:val="24"/>
                <w:szCs w:val="21"/>
              </w:rPr>
            </w:pPr>
          </w:p>
          <w:p w14:paraId="7F7803E8">
            <w:pPr>
              <w:keepNext w:val="0"/>
              <w:keepLines w:val="0"/>
              <w:suppressLineNumbers w:val="0"/>
              <w:spacing w:before="0" w:beforeAutospacing="0" w:after="0" w:afterAutospacing="0" w:line="276" w:lineRule="auto"/>
              <w:ind w:left="0" w:right="0"/>
              <w:jc w:val="center"/>
              <w:rPr>
                <w:rFonts w:hint="default" w:ascii="宋体" w:hAnsi="宋体"/>
                <w:b/>
                <w:sz w:val="24"/>
                <w:szCs w:val="21"/>
              </w:rPr>
            </w:pPr>
            <w:r>
              <w:rPr>
                <w:rFonts w:hint="eastAsia" w:ascii="宋体" w:hAnsi="宋体"/>
                <w:b/>
                <w:sz w:val="24"/>
                <w:szCs w:val="21"/>
              </w:rPr>
              <w:t>黑</w:t>
            </w:r>
          </w:p>
          <w:p w14:paraId="60A467DC">
            <w:pPr>
              <w:keepNext w:val="0"/>
              <w:keepLines w:val="0"/>
              <w:suppressLineNumbers w:val="0"/>
              <w:spacing w:before="0" w:beforeAutospacing="0" w:after="0" w:afterAutospacing="0" w:line="276" w:lineRule="auto"/>
              <w:ind w:left="0" w:right="0"/>
              <w:jc w:val="center"/>
              <w:rPr>
                <w:rFonts w:hint="default" w:ascii="宋体" w:hAnsi="宋体"/>
                <w:b/>
                <w:sz w:val="24"/>
                <w:szCs w:val="21"/>
              </w:rPr>
            </w:pPr>
            <w:r>
              <w:rPr>
                <w:rFonts w:hint="eastAsia" w:ascii="宋体" w:hAnsi="宋体"/>
                <w:b/>
                <w:sz w:val="24"/>
                <w:szCs w:val="21"/>
              </w:rPr>
              <w:t>色</w:t>
            </w:r>
          </w:p>
          <w:p w14:paraId="23620D6C">
            <w:pPr>
              <w:keepNext w:val="0"/>
              <w:keepLines w:val="0"/>
              <w:suppressLineNumbers w:val="0"/>
              <w:spacing w:before="0" w:beforeAutospacing="0" w:after="0" w:afterAutospacing="0" w:line="276" w:lineRule="auto"/>
              <w:ind w:left="0" w:right="0"/>
              <w:jc w:val="center"/>
              <w:rPr>
                <w:rFonts w:hint="default" w:ascii="宋体" w:hAnsi="宋体"/>
                <w:b/>
                <w:sz w:val="24"/>
                <w:szCs w:val="21"/>
              </w:rPr>
            </w:pPr>
            <w:r>
              <w:rPr>
                <w:rFonts w:hint="eastAsia" w:ascii="宋体" w:hAnsi="宋体"/>
                <w:b/>
                <w:sz w:val="24"/>
                <w:szCs w:val="21"/>
              </w:rPr>
              <w:t>产</w:t>
            </w:r>
          </w:p>
          <w:p w14:paraId="1FEE2580">
            <w:pPr>
              <w:keepNext w:val="0"/>
              <w:keepLines w:val="0"/>
              <w:suppressLineNumbers w:val="0"/>
              <w:spacing w:before="0" w:beforeAutospacing="0" w:after="0" w:afterAutospacing="0" w:line="276" w:lineRule="auto"/>
              <w:ind w:left="0" w:right="0"/>
              <w:jc w:val="center"/>
              <w:rPr>
                <w:rFonts w:hint="default" w:ascii="宋体" w:hAnsi="宋体"/>
                <w:b/>
                <w:sz w:val="24"/>
                <w:szCs w:val="21"/>
              </w:rPr>
            </w:pPr>
            <w:r>
              <w:rPr>
                <w:rFonts w:hint="eastAsia" w:ascii="宋体" w:hAnsi="宋体"/>
                <w:b/>
                <w:sz w:val="24"/>
                <w:szCs w:val="21"/>
              </w:rPr>
              <w:t>业</w:t>
            </w:r>
          </w:p>
        </w:tc>
        <w:tc>
          <w:tcPr>
            <w:tcW w:w="1397" w:type="dxa"/>
            <w:vAlign w:val="center"/>
          </w:tcPr>
          <w:p w14:paraId="371FA011">
            <w:pPr>
              <w:keepNext w:val="0"/>
              <w:keepLines w:val="0"/>
              <w:suppressLineNumbers w:val="0"/>
              <w:spacing w:before="0" w:beforeAutospacing="0" w:after="0" w:afterAutospacing="0"/>
              <w:ind w:left="0" w:leftChars="0" w:right="0" w:rightChars="0"/>
              <w:jc w:val="center"/>
              <w:rPr>
                <w:rFonts w:hint="default" w:ascii="宋体" w:hAnsi="宋体" w:cs="宋体"/>
                <w:szCs w:val="21"/>
              </w:rPr>
            </w:pPr>
            <w:r>
              <w:rPr>
                <w:rFonts w:hint="eastAsia" w:ascii="宋体" w:hAnsi="宋体"/>
                <w:szCs w:val="21"/>
              </w:rPr>
              <w:t>铁矿石</w:t>
            </w:r>
          </w:p>
        </w:tc>
        <w:tc>
          <w:tcPr>
            <w:tcW w:w="1254" w:type="dxa"/>
            <w:vAlign w:val="center"/>
          </w:tcPr>
          <w:p w14:paraId="350E3123">
            <w:pPr>
              <w:keepNext w:val="0"/>
              <w:keepLines w:val="0"/>
              <w:suppressLineNumbers w:val="0"/>
              <w:spacing w:before="0" w:beforeAutospacing="0" w:after="0" w:afterAutospacing="0"/>
              <w:ind w:left="0" w:leftChars="0" w:right="0" w:firstLine="0" w:firstLineChars="0"/>
              <w:rPr>
                <w:rFonts w:hint="eastAsia" w:ascii="宋体" w:hAnsi="宋体" w:eastAsia="宋体"/>
                <w:szCs w:val="21"/>
                <w:lang w:eastAsia="zh"/>
                <w:woUserID w:val="8"/>
              </w:rPr>
            </w:pPr>
            <w:r>
              <w:rPr>
                <w:rFonts w:hint="eastAsia" w:ascii="宋体" w:hAnsi="宋体"/>
                <w:szCs w:val="21"/>
              </w:rPr>
              <w:t xml:space="preserve"> </w:t>
            </w:r>
            <w:r>
              <w:rPr>
                <w:rFonts w:hint="eastAsia" w:ascii="宋体" w:hAnsi="宋体"/>
                <w:szCs w:val="21"/>
                <w:lang w:eastAsia="zh"/>
                <w:woUserID w:val="8"/>
              </w:rPr>
              <w:t>震荡偏弱</w:t>
            </w:r>
          </w:p>
        </w:tc>
        <w:tc>
          <w:tcPr>
            <w:tcW w:w="6804" w:type="dxa"/>
            <w:vMerge w:val="restart"/>
            <w:shd w:val="clear" w:color="auto" w:fill="auto"/>
          </w:tcPr>
          <w:p w14:paraId="6990A36D">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lang w:eastAsia="zh"/>
                <w:woUserID w:val="2"/>
              </w:rPr>
            </w:pPr>
            <w:r>
              <w:rPr>
                <w:rFonts w:hint="eastAsia" w:ascii="宋体" w:hAnsi="宋体" w:eastAsia="宋体" w:cs="宋体"/>
                <w:b/>
                <w:bCs/>
                <w:color w:val="000000"/>
                <w:kern w:val="2"/>
                <w:sz w:val="21"/>
                <w:szCs w:val="21"/>
                <w:lang w:val="en-US" w:eastAsia="zh-CN" w:bidi="ar"/>
              </w:rPr>
              <w:t>铁矿：</w:t>
            </w:r>
            <w:r>
              <w:rPr>
                <w:rFonts w:hint="eastAsia" w:ascii="宋体" w:hAnsi="宋体" w:eastAsia="宋体" w:cs="宋体"/>
                <w:color w:val="000000"/>
                <w:kern w:val="2"/>
                <w:sz w:val="21"/>
                <w:szCs w:val="21"/>
                <w:lang w:val="en-US" w:eastAsia="zh-CN" w:bidi="ar"/>
              </w:rPr>
              <w:t>粗钢平控政策传闻</w:t>
            </w:r>
            <w:r>
              <w:rPr>
                <w:rFonts w:hint="eastAsia" w:ascii="宋体" w:hAnsi="宋体" w:cs="宋体"/>
                <w:color w:val="000000"/>
                <w:kern w:val="2"/>
                <w:sz w:val="21"/>
                <w:szCs w:val="21"/>
                <w:lang w:val="en-US" w:eastAsia="zh" w:bidi="ar"/>
                <w:woUserID w:val="8"/>
              </w:rPr>
              <w:t>干扰，</w:t>
            </w:r>
            <w:r>
              <w:rPr>
                <w:rFonts w:hint="eastAsia" w:ascii="宋体" w:hAnsi="宋体" w:eastAsia="宋体" w:cs="宋体"/>
                <w:color w:val="000000"/>
                <w:kern w:val="2"/>
                <w:sz w:val="21"/>
                <w:szCs w:val="21"/>
                <w:lang w:val="en-US" w:eastAsia="zh-CN" w:bidi="ar"/>
              </w:rPr>
              <w:t>叠加一系列贸易摩擦升级事件，供应端的增量预期以及需求端</w:t>
            </w:r>
            <w:r>
              <w:rPr>
                <w:rFonts w:hint="eastAsia" w:ascii="宋体" w:hAnsi="宋体" w:cs="宋体"/>
                <w:color w:val="000000"/>
                <w:kern w:val="2"/>
                <w:sz w:val="21"/>
                <w:szCs w:val="21"/>
                <w:lang w:val="en-US" w:eastAsia="zh" w:bidi="ar"/>
                <w:woUserID w:val="8"/>
              </w:rPr>
              <w:t>的利空</w:t>
            </w:r>
            <w:r>
              <w:rPr>
                <w:rFonts w:hint="eastAsia" w:ascii="宋体" w:hAnsi="宋体" w:eastAsia="宋体" w:cs="宋体"/>
                <w:color w:val="000000"/>
                <w:kern w:val="2"/>
                <w:sz w:val="21"/>
                <w:szCs w:val="21"/>
                <w:lang w:val="en-US" w:eastAsia="zh-CN" w:bidi="ar"/>
              </w:rPr>
              <w:t>，铁矿一路下行</w:t>
            </w:r>
            <w:r>
              <w:rPr>
                <w:rFonts w:hint="eastAsia" w:ascii="宋体" w:hAnsi="宋体" w:cs="宋体"/>
                <w:color w:val="000000"/>
                <w:kern w:val="2"/>
                <w:sz w:val="21"/>
                <w:szCs w:val="21"/>
                <w:lang w:val="en-US" w:eastAsia="zh" w:bidi="ar"/>
                <w:woUserID w:val="8"/>
              </w:rPr>
              <w:t>调整，高估值向下修复。进入金三银四小旺季，短期矿价下方仍受到港口去库预期的支撑，上方高度需考验需求成色。3月全球发运或延续回升态势，</w:t>
            </w:r>
            <w:r>
              <w:rPr>
                <w:rFonts w:hint="eastAsia" w:ascii="宋体" w:hAnsi="宋体" w:eastAsia="宋体" w:cs="宋体"/>
                <w:color w:val="000000"/>
                <w:kern w:val="2"/>
                <w:sz w:val="21"/>
                <w:szCs w:val="21"/>
                <w:lang w:val="en-US" w:eastAsia="zh-CN" w:bidi="ar"/>
              </w:rPr>
              <w:t>钢厂盈利率环比上行，检修高炉陆续复产，日均铁水产量环比</w:t>
            </w:r>
            <w:r>
              <w:rPr>
                <w:rFonts w:hint="eastAsia" w:ascii="宋体" w:hAnsi="宋体" w:cs="宋体"/>
                <w:color w:val="000000"/>
                <w:kern w:val="2"/>
                <w:sz w:val="21"/>
                <w:szCs w:val="21"/>
                <w:lang w:val="en-US" w:eastAsia="zh" w:bidi="ar"/>
                <w:woUserID w:val="8"/>
              </w:rPr>
              <w:t>或保持小幅</w:t>
            </w:r>
            <w:r>
              <w:rPr>
                <w:rFonts w:hint="eastAsia" w:ascii="宋体" w:hAnsi="宋体" w:eastAsia="宋体" w:cs="宋体"/>
                <w:color w:val="000000"/>
                <w:kern w:val="2"/>
                <w:sz w:val="21"/>
                <w:szCs w:val="21"/>
                <w:lang w:val="en-US" w:eastAsia="zh-CN" w:bidi="ar"/>
              </w:rPr>
              <w:t>回升</w:t>
            </w:r>
            <w:r>
              <w:rPr>
                <w:rFonts w:hint="eastAsia" w:ascii="宋体" w:hAnsi="宋体" w:cs="宋体"/>
                <w:color w:val="000000"/>
                <w:kern w:val="2"/>
                <w:sz w:val="21"/>
                <w:szCs w:val="21"/>
                <w:lang w:val="en-US" w:eastAsia="zh" w:bidi="ar"/>
                <w:woUserID w:val="8"/>
              </w:rPr>
              <w:t>。</w:t>
            </w:r>
            <w:r>
              <w:rPr>
                <w:rFonts w:hint="eastAsia" w:ascii="宋体" w:hAnsi="宋体" w:eastAsia="宋体" w:cs="宋体"/>
                <w:color w:val="000000"/>
                <w:kern w:val="2"/>
                <w:sz w:val="21"/>
                <w:szCs w:val="21"/>
                <w:lang w:val="en-US" w:eastAsia="zh-CN" w:bidi="ar"/>
              </w:rPr>
              <w:t>今年仍将实施粗钢产量调控，原料需求受限，成本预期走弱。</w:t>
            </w:r>
            <w:r>
              <w:rPr>
                <w:rFonts w:hint="eastAsia" w:ascii="宋体" w:hAnsi="宋体" w:cs="宋体"/>
                <w:color w:val="000000"/>
                <w:kern w:val="2"/>
                <w:sz w:val="21"/>
                <w:szCs w:val="21"/>
                <w:lang w:val="en-US" w:eastAsia="zh" w:bidi="ar"/>
                <w:woUserID w:val="8"/>
              </w:rPr>
              <w:t>产能投放和限产更利空远月合约，</w:t>
            </w:r>
            <w:r>
              <w:rPr>
                <w:rFonts w:hint="eastAsia" w:ascii="宋体" w:hAnsi="宋体" w:eastAsia="宋体" w:cs="宋体"/>
                <w:color w:val="000000"/>
                <w:kern w:val="2"/>
                <w:sz w:val="21"/>
                <w:szCs w:val="21"/>
                <w:lang w:val="en-US" w:eastAsia="zh-CN" w:bidi="ar"/>
              </w:rPr>
              <w:t>稳健的投资者</w:t>
            </w:r>
            <w:r>
              <w:rPr>
                <w:rFonts w:hint="eastAsia" w:ascii="宋体" w:hAnsi="宋体" w:cs="宋体"/>
                <w:color w:val="000000"/>
                <w:kern w:val="2"/>
                <w:sz w:val="21"/>
                <w:szCs w:val="21"/>
                <w:lang w:val="en-US" w:eastAsia="zh" w:bidi="ar"/>
                <w:woUserID w:val="8"/>
              </w:rPr>
              <w:t>捕捉</w:t>
            </w:r>
            <w:r>
              <w:rPr>
                <w:rFonts w:hint="eastAsia" w:ascii="宋体" w:hAnsi="宋体" w:eastAsia="宋体" w:cs="宋体"/>
                <w:color w:val="000000"/>
                <w:kern w:val="2"/>
                <w:sz w:val="21"/>
                <w:szCs w:val="21"/>
                <w:lang w:val="en-US" w:eastAsia="zh-CN" w:bidi="ar"/>
              </w:rPr>
              <w:t>铁矿</w:t>
            </w:r>
            <w:r>
              <w:rPr>
                <w:rFonts w:hint="eastAsia" w:ascii="宋体" w:hAnsi="宋体" w:cs="宋体"/>
                <w:color w:val="000000"/>
                <w:kern w:val="2"/>
                <w:sz w:val="21"/>
                <w:szCs w:val="21"/>
                <w:lang w:val="en-US" w:eastAsia="zh" w:bidi="ar"/>
                <w:woUserID w:val="8"/>
              </w:rPr>
              <w:t>月差</w:t>
            </w:r>
            <w:r>
              <w:rPr>
                <w:rFonts w:hint="eastAsia" w:ascii="宋体" w:hAnsi="宋体" w:eastAsia="宋体" w:cs="宋体"/>
                <w:color w:val="000000"/>
                <w:kern w:val="2"/>
                <w:sz w:val="21"/>
                <w:szCs w:val="21"/>
                <w:lang w:val="en-US" w:eastAsia="zh-CN" w:bidi="ar"/>
              </w:rPr>
              <w:t>59正套</w:t>
            </w:r>
            <w:r>
              <w:rPr>
                <w:rFonts w:hint="eastAsia" w:ascii="宋体" w:hAnsi="宋体" w:cs="宋体"/>
                <w:color w:val="000000"/>
                <w:kern w:val="2"/>
                <w:sz w:val="21"/>
                <w:szCs w:val="21"/>
                <w:lang w:val="en-US" w:eastAsia="zh" w:bidi="ar"/>
                <w:woUserID w:val="8"/>
              </w:rPr>
              <w:t>机会</w:t>
            </w:r>
            <w:r>
              <w:rPr>
                <w:rFonts w:hint="eastAsia" w:ascii="宋体" w:hAnsi="宋体" w:eastAsia="宋体" w:cs="宋体"/>
                <w:color w:val="000000"/>
                <w:kern w:val="2"/>
                <w:sz w:val="21"/>
                <w:szCs w:val="21"/>
                <w:lang w:val="en-US" w:eastAsia="zh-CN" w:bidi="ar"/>
              </w:rPr>
              <w:t>，同时关注钢厂复工复产进程及铁水实际走势对近月的支撑。</w:t>
            </w:r>
            <w:r>
              <w:rPr>
                <w:rFonts w:hint="eastAsia" w:ascii="宋体" w:hAnsi="宋体" w:cs="宋体"/>
                <w:color w:val="000000"/>
                <w:kern w:val="2"/>
                <w:sz w:val="21"/>
                <w:szCs w:val="21"/>
                <w:lang w:val="en-US" w:eastAsia="zh" w:bidi="ar"/>
                <w:woUserID w:val="2"/>
              </w:rPr>
              <w:t xml:space="preserve">   </w:t>
            </w:r>
          </w:p>
          <w:p w14:paraId="34D12F5B">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b/>
                <w:bCs/>
                <w:color w:val="000000"/>
                <w:kern w:val="2"/>
                <w:sz w:val="21"/>
                <w:szCs w:val="21"/>
                <w:lang w:val="en-US" w:eastAsia="zh-CN" w:bidi="ar"/>
              </w:rPr>
              <w:t>煤焦：</w:t>
            </w:r>
            <w:r>
              <w:rPr>
                <w:rFonts w:hint="eastAsia" w:ascii="宋体" w:hAnsi="宋体" w:eastAsia="宋体" w:cs="宋体"/>
                <w:color w:val="000000"/>
                <w:kern w:val="2"/>
                <w:sz w:val="21"/>
                <w:szCs w:val="21"/>
                <w:lang w:val="en-US" w:eastAsia="zh-CN" w:bidi="ar"/>
              </w:rPr>
              <w:t>大部分煤矿积极复产，蒙古煤也恢复通关，低价蒙煤持续流入，焦煤过剩问题难以解决，整体煤炭市场供强需弱。中国对原产于美国的部分进口商品加征关税，但对煤价影响有限。钢材市场供需偏弱，钢厂对于焦炭价格仍掌握主动权，焦炭</w:t>
            </w:r>
            <w:r>
              <w:rPr>
                <w:rFonts w:hint="eastAsia" w:ascii="宋体" w:hAnsi="宋体" w:cs="宋体"/>
                <w:color w:val="000000"/>
                <w:kern w:val="2"/>
                <w:sz w:val="21"/>
                <w:szCs w:val="21"/>
                <w:lang w:val="en-US" w:eastAsia="zh" w:bidi="ar"/>
                <w:woUserID w:val="6"/>
              </w:rPr>
              <w:t>开启</w:t>
            </w:r>
            <w:r>
              <w:rPr>
                <w:rFonts w:hint="eastAsia" w:ascii="宋体" w:hAnsi="宋体" w:eastAsia="宋体" w:cs="宋体"/>
                <w:color w:val="000000"/>
                <w:kern w:val="2"/>
                <w:sz w:val="21"/>
                <w:szCs w:val="21"/>
                <w:lang w:val="en-US" w:eastAsia="zh-CN" w:bidi="ar"/>
              </w:rPr>
              <w:t>第十</w:t>
            </w:r>
            <w:r>
              <w:rPr>
                <w:rFonts w:hint="eastAsia" w:ascii="宋体" w:hAnsi="宋体" w:cs="宋体"/>
                <w:color w:val="000000"/>
                <w:kern w:val="2"/>
                <w:sz w:val="21"/>
                <w:szCs w:val="21"/>
                <w:lang w:val="en-US" w:eastAsia="zh" w:bidi="ar"/>
                <w:woUserID w:val="6"/>
              </w:rPr>
              <w:t>一</w:t>
            </w:r>
            <w:r>
              <w:rPr>
                <w:rFonts w:hint="eastAsia" w:ascii="宋体" w:hAnsi="宋体" w:eastAsia="宋体" w:cs="宋体"/>
                <w:color w:val="000000"/>
                <w:kern w:val="2"/>
                <w:sz w:val="21"/>
                <w:szCs w:val="21"/>
                <w:lang w:val="en-US" w:eastAsia="zh-CN" w:bidi="ar"/>
              </w:rPr>
              <w:t>轮提降，焦化企业焦炭库存压力增加。</w:t>
            </w:r>
            <w:r>
              <w:rPr>
                <w:rFonts w:hint="eastAsia" w:ascii="宋体" w:hAnsi="宋体" w:cs="宋体"/>
                <w:color w:val="000000"/>
                <w:kern w:val="2"/>
                <w:sz w:val="21"/>
                <w:szCs w:val="21"/>
                <w:lang w:val="en-US" w:eastAsia="zh" w:bidi="ar"/>
                <w:woUserID w:val="8"/>
              </w:rPr>
              <w:t>市场传闻山西煤矿下调任务量，供应收缩预期，</w:t>
            </w:r>
            <w:r>
              <w:rPr>
                <w:rFonts w:hint="eastAsia" w:ascii="宋体" w:hAnsi="宋体" w:eastAsia="宋体" w:cs="宋体"/>
                <w:color w:val="000000"/>
                <w:kern w:val="2"/>
                <w:sz w:val="21"/>
                <w:szCs w:val="21"/>
                <w:lang w:val="en-US" w:eastAsia="zh-CN" w:bidi="ar"/>
              </w:rPr>
              <w:t>粗钢再平控消息使得原料端需求承压，</w:t>
            </w:r>
            <w:r>
              <w:rPr>
                <w:rFonts w:hint="eastAsia" w:ascii="宋体" w:hAnsi="宋体" w:cs="宋体"/>
                <w:color w:val="000000"/>
                <w:kern w:val="2"/>
                <w:sz w:val="21"/>
                <w:szCs w:val="21"/>
                <w:lang w:val="en-US" w:eastAsia="zh" w:bidi="ar"/>
                <w:woUserID w:val="8"/>
              </w:rPr>
              <w:t>整体供需收缩再度寻找平衡，</w:t>
            </w:r>
            <w:r>
              <w:rPr>
                <w:rFonts w:hint="eastAsia" w:ascii="宋体" w:hAnsi="宋体" w:eastAsia="宋体" w:cs="宋体"/>
                <w:color w:val="000000"/>
                <w:kern w:val="2"/>
                <w:sz w:val="21"/>
                <w:szCs w:val="21"/>
                <w:lang w:val="en-US" w:eastAsia="zh-CN" w:bidi="ar"/>
              </w:rPr>
              <w:t>煤焦整体跟随成材走势为主，重点关注下游终端需求恢复情况。</w:t>
            </w:r>
          </w:p>
          <w:p w14:paraId="4DB520C3">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rPr>
            </w:pPr>
            <w:r>
              <w:rPr>
                <w:rFonts w:hint="eastAsia" w:ascii="宋体" w:hAnsi="宋体" w:eastAsia="宋体" w:cs="宋体"/>
                <w:b/>
                <w:bCs/>
                <w:color w:val="000000"/>
                <w:kern w:val="2"/>
                <w:sz w:val="21"/>
                <w:szCs w:val="21"/>
                <w:lang w:val="en-US" w:eastAsia="zh-CN" w:bidi="ar"/>
              </w:rPr>
              <w:t>螺纹：</w:t>
            </w:r>
            <w:r>
              <w:rPr>
                <w:rFonts w:hint="eastAsia" w:ascii="宋体" w:hAnsi="宋体" w:eastAsia="宋体" w:cs="宋体"/>
                <w:color w:val="000000"/>
                <w:kern w:val="2"/>
                <w:sz w:val="21"/>
                <w:szCs w:val="21"/>
                <w:lang w:val="en-US" w:eastAsia="zh-CN" w:bidi="ar"/>
              </w:rPr>
              <w:t>今年仍将实施粗钢产量调控，下游需求逐步恢复，钢材仍有支撑。近期一系列贸易摩擦升级事件干扰，市场情绪来回切换，行情波动加剧。</w:t>
            </w:r>
            <w:r>
              <w:rPr>
                <w:rFonts w:hint="eastAsia" w:ascii="宋体" w:hAnsi="宋体" w:cs="宋体"/>
                <w:color w:val="000000"/>
                <w:kern w:val="2"/>
                <w:sz w:val="21"/>
                <w:szCs w:val="21"/>
                <w:lang w:val="en-US" w:eastAsia="zh" w:bidi="ar"/>
                <w:woUserID w:val="6"/>
              </w:rPr>
              <w:t>上</w:t>
            </w:r>
            <w:r>
              <w:rPr>
                <w:rFonts w:hint="eastAsia" w:ascii="宋体" w:hAnsi="宋体" w:eastAsia="宋体" w:cs="宋体"/>
                <w:color w:val="000000"/>
                <w:kern w:val="2"/>
                <w:sz w:val="21"/>
                <w:szCs w:val="21"/>
                <w:lang w:val="en-US" w:eastAsia="zh-CN" w:bidi="ar"/>
              </w:rPr>
              <w:t>周钢联数据表现尚可，</w:t>
            </w:r>
            <w:bookmarkStart w:id="4" w:name="OLE_LINK3"/>
            <w:r>
              <w:rPr>
                <w:rFonts w:hint="eastAsia" w:ascii="宋体" w:hAnsi="宋体" w:eastAsia="宋体" w:cs="宋体"/>
                <w:color w:val="000000"/>
                <w:kern w:val="2"/>
                <w:sz w:val="21"/>
                <w:szCs w:val="21"/>
                <w:lang w:val="en-US" w:eastAsia="zh-CN" w:bidi="ar"/>
              </w:rPr>
              <w:t>螺纹表观需求增加近30万吨至220.35万吨，为去年12月末以来最高。五大钢材品种总库存拐头向下，环比减少18.83万吨至1860.29万吨。</w:t>
            </w:r>
            <w:bookmarkEnd w:id="4"/>
            <w:r>
              <w:rPr>
                <w:rFonts w:hint="eastAsia" w:ascii="宋体" w:hAnsi="宋体" w:cs="宋体"/>
                <w:color w:val="000000"/>
                <w:kern w:val="2"/>
                <w:sz w:val="21"/>
                <w:szCs w:val="21"/>
                <w:lang w:val="en-US" w:eastAsia="zh" w:bidi="ar"/>
                <w:woUserID w:val="8"/>
              </w:rPr>
              <w:t>地产阶段性筑底尚难大幅起色，需求确定性恶化的是出口市场，</w:t>
            </w:r>
            <w:r>
              <w:rPr>
                <w:rFonts w:hint="eastAsia" w:ascii="宋体" w:hAnsi="宋体" w:eastAsia="宋体" w:cs="宋体"/>
                <w:color w:val="000000"/>
                <w:kern w:val="2"/>
                <w:sz w:val="21"/>
                <w:szCs w:val="21"/>
                <w:lang w:val="en-US" w:eastAsia="zh-CN" w:bidi="ar"/>
              </w:rPr>
              <w:t>越南反倾销政策落地对我国钢材出口产生了冲击</w:t>
            </w:r>
            <w:r>
              <w:rPr>
                <w:rFonts w:hint="eastAsia" w:ascii="宋体" w:hAnsi="宋体" w:cs="宋体"/>
                <w:color w:val="000000"/>
                <w:kern w:val="2"/>
                <w:sz w:val="21"/>
                <w:szCs w:val="21"/>
                <w:lang w:val="en-US" w:eastAsia="zh" w:bidi="ar"/>
                <w:woUserID w:val="8"/>
              </w:rPr>
              <w:t>，粗钢调控一定程度可以对冲需求的下滑，关注调控进展</w:t>
            </w:r>
            <w:r>
              <w:rPr>
                <w:rFonts w:hint="eastAsia" w:ascii="宋体" w:hAnsi="宋体" w:eastAsia="宋体" w:cs="宋体"/>
                <w:color w:val="000000"/>
                <w:kern w:val="2"/>
                <w:sz w:val="21"/>
                <w:szCs w:val="21"/>
                <w:lang w:val="en-US" w:eastAsia="zh-CN" w:bidi="ar"/>
              </w:rPr>
              <w:t>。螺纹</w:t>
            </w:r>
            <w:r>
              <w:rPr>
                <w:rFonts w:hint="eastAsia" w:ascii="宋体" w:hAnsi="宋体" w:cs="宋体"/>
                <w:color w:val="000000"/>
                <w:kern w:val="2"/>
                <w:sz w:val="21"/>
                <w:szCs w:val="21"/>
                <w:lang w:val="en-US" w:eastAsia="zh" w:bidi="ar"/>
                <w:woUserID w:val="8"/>
              </w:rPr>
              <w:t>市场情绪偏弱，</w:t>
            </w:r>
            <w:r>
              <w:rPr>
                <w:rFonts w:hint="eastAsia" w:ascii="宋体" w:hAnsi="宋体" w:eastAsia="宋体" w:cs="宋体"/>
                <w:color w:val="000000"/>
                <w:kern w:val="2"/>
                <w:sz w:val="21"/>
                <w:szCs w:val="21"/>
                <w:lang w:val="en-US" w:eastAsia="zh-CN" w:bidi="ar"/>
              </w:rPr>
              <w:t>2505合约</w:t>
            </w:r>
            <w:r>
              <w:rPr>
                <w:rFonts w:hint="eastAsia" w:ascii="宋体" w:hAnsi="宋体" w:cs="宋体"/>
                <w:color w:val="000000"/>
                <w:kern w:val="2"/>
                <w:sz w:val="21"/>
                <w:szCs w:val="21"/>
                <w:lang w:val="en-US" w:eastAsia="zh" w:bidi="ar"/>
                <w:woUserID w:val="8"/>
              </w:rPr>
              <w:t>在3200</w:t>
            </w:r>
            <w:r>
              <w:rPr>
                <w:rFonts w:hint="eastAsia" w:ascii="宋体" w:hAnsi="宋体" w:eastAsia="宋体" w:cs="宋体"/>
                <w:color w:val="000000"/>
                <w:kern w:val="2"/>
                <w:sz w:val="21"/>
                <w:szCs w:val="21"/>
                <w:lang w:val="en-US" w:eastAsia="zh-CN" w:bidi="ar"/>
                <w:woUserID w:val="8"/>
              </w:rPr>
              <w:t>元/</w:t>
            </w:r>
            <w:r>
              <w:rPr>
                <w:rFonts w:hint="eastAsia" w:ascii="宋体" w:hAnsi="宋体" w:cs="宋体"/>
                <w:color w:val="000000"/>
                <w:kern w:val="2"/>
                <w:sz w:val="21"/>
                <w:szCs w:val="21"/>
                <w:lang w:val="en-US" w:eastAsia="zh" w:bidi="ar"/>
                <w:woUserID w:val="8"/>
              </w:rPr>
              <w:t>吨一带受到支撑</w:t>
            </w:r>
            <w:r>
              <w:rPr>
                <w:rFonts w:hint="eastAsia" w:ascii="宋体" w:hAnsi="宋体" w:eastAsia="宋体" w:cs="宋体"/>
                <w:color w:val="000000"/>
                <w:kern w:val="2"/>
                <w:sz w:val="21"/>
                <w:szCs w:val="21"/>
                <w:lang w:val="en-US" w:eastAsia="zh-CN" w:bidi="ar"/>
              </w:rPr>
              <w:t xml:space="preserve">。 </w:t>
            </w:r>
          </w:p>
          <w:p w14:paraId="45EE7BA7">
            <w:pPr>
              <w:keepNext w:val="0"/>
              <w:keepLines w:val="0"/>
              <w:widowControl w:val="0"/>
              <w:suppressLineNumbers w:val="0"/>
              <w:spacing w:before="0" w:beforeAutospacing="0" w:after="0" w:afterAutospacing="0"/>
              <w:ind w:left="0" w:right="0"/>
              <w:jc w:val="both"/>
              <w:rPr>
                <w:rFonts w:hint="default"/>
                <w:color w:val="000000"/>
                <w:szCs w:val="20"/>
              </w:rPr>
            </w:pPr>
            <w:r>
              <w:rPr>
                <w:rFonts w:hint="eastAsia" w:ascii="宋体" w:hAnsi="宋体" w:eastAsia="宋体" w:cs="宋体"/>
                <w:b/>
                <w:bCs w:val="0"/>
                <w:color w:val="000000"/>
                <w:kern w:val="2"/>
                <w:sz w:val="21"/>
                <w:szCs w:val="21"/>
                <w:lang w:val="en-US" w:eastAsia="zh-CN" w:bidi="ar"/>
              </w:rPr>
              <w:t>玻璃：</w:t>
            </w:r>
            <w:r>
              <w:rPr>
                <w:rFonts w:hint="eastAsia" w:ascii="宋体" w:hAnsi="宋体" w:eastAsia="宋体" w:cs="宋体"/>
                <w:color w:val="000000"/>
                <w:kern w:val="2"/>
                <w:sz w:val="21"/>
                <w:szCs w:val="21"/>
                <w:lang w:val="en-US" w:eastAsia="zh-CN" w:bidi="ar"/>
              </w:rPr>
              <w:t>玻璃企业面临利润萎缩和市场需求低迷的挑战，</w:t>
            </w:r>
            <w:r>
              <w:rPr>
                <w:rFonts w:hint="eastAsia" w:ascii="宋体" w:hAnsi="宋体" w:cs="宋体"/>
                <w:color w:val="000000"/>
                <w:kern w:val="2"/>
                <w:sz w:val="21"/>
                <w:szCs w:val="21"/>
                <w:lang w:val="en-US" w:eastAsia="zh" w:bidi="ar"/>
                <w:woUserID w:val="8"/>
              </w:rPr>
              <w:t>现货价格弱势运行，期价跌破1200点，创五个月新低。</w:t>
            </w:r>
            <w:r>
              <w:rPr>
                <w:rFonts w:hint="eastAsia" w:ascii="宋体" w:hAnsi="宋体" w:eastAsia="宋体" w:cs="宋体"/>
                <w:color w:val="000000"/>
                <w:kern w:val="2"/>
                <w:sz w:val="21"/>
                <w:szCs w:val="21"/>
                <w:lang w:val="en-US" w:eastAsia="zh-CN" w:bidi="ar"/>
              </w:rPr>
              <w:t>目前玻</w:t>
            </w:r>
            <w:r>
              <w:rPr>
                <w:rFonts w:hint="eastAsia" w:ascii="宋体" w:hAnsi="宋体" w:eastAsia="宋体" w:cs="宋体"/>
                <w:kern w:val="2"/>
                <w:sz w:val="21"/>
                <w:szCs w:val="21"/>
                <w:lang w:val="en-US" w:eastAsia="zh-CN" w:bidi="ar"/>
              </w:rPr>
              <w:t>璃产线开工率和日熔量持平，处于同期低位，</w:t>
            </w:r>
            <w:r>
              <w:rPr>
                <w:rFonts w:hint="eastAsia" w:ascii="宋体" w:hAnsi="宋体" w:cs="宋体"/>
                <w:kern w:val="2"/>
                <w:sz w:val="21"/>
                <w:szCs w:val="21"/>
                <w:lang w:val="en-US" w:eastAsia="zh" w:bidi="ar"/>
                <w:woUserID w:val="8"/>
              </w:rPr>
              <w:t>作为地产后端商品，房地产行业下行拖累玻璃需求，新开工和竣工均未企稳，预期较为悲观。今年复工进度较往年偏慢，</w:t>
            </w:r>
            <w:r>
              <w:rPr>
                <w:rFonts w:hint="eastAsia" w:ascii="宋体" w:hAnsi="宋体" w:eastAsia="宋体" w:cs="宋体"/>
                <w:kern w:val="2"/>
                <w:sz w:val="21"/>
                <w:szCs w:val="21"/>
                <w:lang w:val="en-US" w:eastAsia="zh-CN" w:bidi="ar"/>
              </w:rPr>
              <w:t>玻璃终端需求尚未明显启动，库存数据持续增加，基本面偏弱，关注玻璃产线复产进度。需求端进入政策博弈阶段，</w:t>
            </w:r>
            <w:r>
              <w:rPr>
                <w:rFonts w:hint="eastAsia" w:ascii="宋体" w:hAnsi="宋体" w:cs="宋体"/>
                <w:kern w:val="2"/>
                <w:sz w:val="21"/>
                <w:szCs w:val="21"/>
                <w:lang w:val="en-US" w:eastAsia="zh" w:bidi="ar"/>
                <w:woUserID w:val="8"/>
              </w:rPr>
              <w:t>供需</w:t>
            </w:r>
            <w:r>
              <w:rPr>
                <w:rFonts w:hint="eastAsia" w:ascii="宋体" w:hAnsi="宋体" w:eastAsia="宋体" w:cs="宋体"/>
                <w:kern w:val="2"/>
                <w:sz w:val="21"/>
                <w:szCs w:val="21"/>
                <w:lang w:val="en-US" w:eastAsia="zh-CN" w:bidi="ar"/>
              </w:rPr>
              <w:t>关注实质性改善情况，以及库存去化速度，短期玻璃2505合约</w:t>
            </w:r>
            <w:r>
              <w:rPr>
                <w:rFonts w:hint="eastAsia" w:ascii="宋体" w:hAnsi="宋体" w:cs="宋体"/>
                <w:kern w:val="2"/>
                <w:sz w:val="21"/>
                <w:szCs w:val="21"/>
                <w:lang w:val="en-US" w:eastAsia="zh" w:bidi="ar"/>
                <w:woUserID w:val="8"/>
              </w:rPr>
              <w:t>跌破</w:t>
            </w:r>
            <w:r>
              <w:rPr>
                <w:rFonts w:hint="eastAsia" w:ascii="宋体" w:hAnsi="宋体" w:eastAsia="宋体" w:cs="宋体"/>
                <w:kern w:val="2"/>
                <w:sz w:val="21"/>
                <w:szCs w:val="21"/>
                <w:lang w:val="en-US" w:eastAsia="zh-CN" w:bidi="ar"/>
              </w:rPr>
              <w:t>1200元/吨一线</w:t>
            </w:r>
            <w:r>
              <w:rPr>
                <w:rFonts w:hint="eastAsia" w:ascii="宋体" w:hAnsi="宋体" w:cs="宋体"/>
                <w:kern w:val="2"/>
                <w:sz w:val="21"/>
                <w:szCs w:val="21"/>
                <w:lang w:val="en-US" w:eastAsia="zh" w:bidi="ar"/>
                <w:woUserID w:val="8"/>
              </w:rPr>
              <w:t>，弱势运行</w:t>
            </w:r>
            <w:r>
              <w:rPr>
                <w:rFonts w:hint="eastAsia" w:ascii="宋体" w:hAnsi="宋体" w:eastAsia="宋体" w:cs="宋体"/>
                <w:kern w:val="2"/>
                <w:sz w:val="21"/>
                <w:szCs w:val="21"/>
                <w:lang w:val="en-US" w:eastAsia="zh-CN" w:bidi="ar"/>
              </w:rPr>
              <w:t>。</w:t>
            </w:r>
          </w:p>
        </w:tc>
      </w:tr>
      <w:tr w14:paraId="5FC671BB">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960" w:hRule="atLeast"/>
          <w:jc w:val="center"/>
        </w:trPr>
        <w:tc>
          <w:tcPr>
            <w:tcW w:w="631" w:type="dxa"/>
            <w:vMerge w:val="continue"/>
            <w:vAlign w:val="center"/>
          </w:tcPr>
          <w:p w14:paraId="280C8796">
            <w:pPr>
              <w:keepNext w:val="0"/>
              <w:keepLines w:val="0"/>
              <w:suppressLineNumbers w:val="0"/>
              <w:spacing w:before="0" w:beforeAutospacing="0" w:after="0" w:afterAutospacing="0" w:line="276" w:lineRule="auto"/>
              <w:ind w:left="0" w:right="0"/>
              <w:jc w:val="center"/>
              <w:rPr>
                <w:rFonts w:hint="default" w:ascii="宋体" w:hAnsi="宋体"/>
                <w:b/>
                <w:sz w:val="24"/>
                <w:szCs w:val="21"/>
              </w:rPr>
            </w:pPr>
          </w:p>
        </w:tc>
        <w:tc>
          <w:tcPr>
            <w:tcW w:w="1397" w:type="dxa"/>
            <w:vAlign w:val="center"/>
          </w:tcPr>
          <w:p w14:paraId="05D9AB2D">
            <w:pPr>
              <w:keepNext w:val="0"/>
              <w:keepLines w:val="0"/>
              <w:suppressLineNumbers w:val="0"/>
              <w:spacing w:before="0" w:beforeAutospacing="0" w:after="0" w:afterAutospacing="0"/>
              <w:ind w:left="0" w:leftChars="0" w:right="0" w:rightChars="0"/>
              <w:jc w:val="center"/>
              <w:rPr>
                <w:rFonts w:hint="default" w:ascii="宋体" w:hAnsi="宋体"/>
                <w:szCs w:val="21"/>
              </w:rPr>
            </w:pPr>
            <w:r>
              <w:rPr>
                <w:rFonts w:hint="eastAsia" w:ascii="宋体" w:hAnsi="宋体"/>
                <w:szCs w:val="21"/>
              </w:rPr>
              <w:t>煤焦</w:t>
            </w:r>
          </w:p>
        </w:tc>
        <w:tc>
          <w:tcPr>
            <w:tcW w:w="1254" w:type="dxa"/>
            <w:vAlign w:val="center"/>
          </w:tcPr>
          <w:p w14:paraId="27C271B6">
            <w:pPr>
              <w:keepNext w:val="0"/>
              <w:keepLines w:val="0"/>
              <w:suppressLineNumbers w:val="0"/>
              <w:spacing w:before="0" w:beforeAutospacing="0" w:after="0" w:afterAutospacing="0"/>
              <w:ind w:left="0" w:leftChars="0" w:right="0" w:firstLine="0" w:firstLineChars="0"/>
              <w:rPr>
                <w:rFonts w:hint="eastAsia" w:eastAsia="宋体"/>
                <w:szCs w:val="21"/>
                <w:lang w:eastAsia="zh"/>
                <w:woUserID w:val="8"/>
              </w:rPr>
            </w:pPr>
            <w:r>
              <w:rPr>
                <w:rFonts w:hint="eastAsia"/>
                <w:szCs w:val="21"/>
              </w:rPr>
              <w:t xml:space="preserve">  </w:t>
            </w:r>
            <w:r>
              <w:rPr>
                <w:rFonts w:hint="eastAsia"/>
                <w:szCs w:val="21"/>
                <w:lang w:eastAsia="zh"/>
                <w:woUserID w:val="8"/>
              </w:rPr>
              <w:t>调整</w:t>
            </w:r>
          </w:p>
        </w:tc>
        <w:tc>
          <w:tcPr>
            <w:tcW w:w="6804" w:type="dxa"/>
            <w:vMerge w:val="continue"/>
            <w:shd w:val="clear" w:color="auto" w:fill="auto"/>
          </w:tcPr>
          <w:p w14:paraId="500CBFEB">
            <w:pPr>
              <w:keepNext w:val="0"/>
              <w:keepLines w:val="0"/>
              <w:suppressLineNumbers w:val="0"/>
              <w:spacing w:before="0" w:beforeAutospacing="0" w:after="0" w:afterAutospacing="0"/>
              <w:ind w:left="0" w:leftChars="0" w:right="0" w:rightChars="0"/>
              <w:jc w:val="left"/>
              <w:rPr>
                <w:rFonts w:hint="default" w:ascii="宋体" w:hAnsi="宋体"/>
                <w:b/>
                <w:bCs/>
                <w:szCs w:val="21"/>
              </w:rPr>
            </w:pPr>
          </w:p>
        </w:tc>
      </w:tr>
      <w:tr w14:paraId="3F003CE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040" w:hRule="atLeast"/>
          <w:jc w:val="center"/>
        </w:trPr>
        <w:tc>
          <w:tcPr>
            <w:tcW w:w="631" w:type="dxa"/>
            <w:vMerge w:val="continue"/>
            <w:vAlign w:val="center"/>
          </w:tcPr>
          <w:p w14:paraId="7A4D6DBD">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1ACD9559">
            <w:pPr>
              <w:keepNext w:val="0"/>
              <w:keepLines w:val="0"/>
              <w:suppressLineNumbers w:val="0"/>
              <w:spacing w:before="0" w:beforeAutospacing="0" w:after="0" w:afterAutospacing="0"/>
              <w:ind w:left="0" w:leftChars="0" w:right="0" w:rightChars="0"/>
              <w:jc w:val="center"/>
              <w:rPr>
                <w:rFonts w:hint="default" w:ascii="宋体" w:hAnsi="宋体" w:cs="宋体"/>
                <w:szCs w:val="21"/>
              </w:rPr>
            </w:pPr>
            <w:r>
              <w:rPr>
                <w:rFonts w:hint="eastAsia" w:ascii="宋体" w:hAnsi="宋体"/>
                <w:szCs w:val="21"/>
              </w:rPr>
              <w:t>卷螺</w:t>
            </w:r>
          </w:p>
        </w:tc>
        <w:tc>
          <w:tcPr>
            <w:tcW w:w="1254" w:type="dxa"/>
            <w:vAlign w:val="center"/>
          </w:tcPr>
          <w:p w14:paraId="11B35EA8">
            <w:pPr>
              <w:keepNext w:val="0"/>
              <w:keepLines w:val="0"/>
              <w:suppressLineNumbers w:val="0"/>
              <w:spacing w:before="0" w:beforeAutospacing="0" w:after="0" w:afterAutospacing="0"/>
              <w:ind w:left="0" w:leftChars="0" w:right="0" w:firstLine="210" w:firstLineChars="100"/>
              <w:rPr>
                <w:rFonts w:hint="eastAsia" w:eastAsia="宋体"/>
                <w:szCs w:val="21"/>
                <w:lang w:eastAsia="zh"/>
                <w:woUserID w:val="8"/>
              </w:rPr>
            </w:pPr>
            <w:r>
              <w:rPr>
                <w:rFonts w:hint="eastAsia"/>
                <w:szCs w:val="21"/>
                <w:lang w:eastAsia="zh"/>
                <w:woUserID w:val="8"/>
              </w:rPr>
              <w:t>震荡</w:t>
            </w:r>
          </w:p>
        </w:tc>
        <w:tc>
          <w:tcPr>
            <w:tcW w:w="6804" w:type="dxa"/>
            <w:vMerge w:val="continue"/>
            <w:shd w:val="clear" w:color="auto" w:fill="auto"/>
          </w:tcPr>
          <w:p w14:paraId="683046F4">
            <w:pPr>
              <w:keepNext w:val="0"/>
              <w:keepLines w:val="0"/>
              <w:suppressLineNumbers w:val="0"/>
              <w:spacing w:before="0" w:beforeAutospacing="0" w:after="0" w:afterAutospacing="0"/>
              <w:ind w:left="0" w:leftChars="0" w:right="0" w:rightChars="0"/>
              <w:jc w:val="left"/>
              <w:rPr>
                <w:rFonts w:hint="default" w:ascii="宋体" w:hAnsi="宋体" w:eastAsia="宋体"/>
                <w:szCs w:val="21"/>
              </w:rPr>
            </w:pPr>
          </w:p>
        </w:tc>
      </w:tr>
      <w:tr w14:paraId="74ACC3B3">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120" w:hRule="atLeast"/>
          <w:jc w:val="center"/>
        </w:trPr>
        <w:tc>
          <w:tcPr>
            <w:tcW w:w="631" w:type="dxa"/>
            <w:vMerge w:val="continue"/>
            <w:vAlign w:val="center"/>
          </w:tcPr>
          <w:p w14:paraId="7ED788F2">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74780E01">
            <w:pPr>
              <w:keepNext w:val="0"/>
              <w:keepLines w:val="0"/>
              <w:suppressLineNumbers w:val="0"/>
              <w:spacing w:before="0" w:beforeAutospacing="0" w:after="0" w:afterAutospacing="0"/>
              <w:ind w:left="0" w:leftChars="0" w:right="0" w:rightChars="0"/>
              <w:jc w:val="center"/>
              <w:rPr>
                <w:rFonts w:hint="default" w:ascii="宋体" w:hAnsi="宋体"/>
                <w:szCs w:val="21"/>
              </w:rPr>
            </w:pPr>
            <w:r>
              <w:rPr>
                <w:rFonts w:hint="eastAsia" w:ascii="宋体" w:hAnsi="宋体"/>
                <w:szCs w:val="21"/>
              </w:rPr>
              <w:t>玻璃</w:t>
            </w:r>
          </w:p>
        </w:tc>
        <w:tc>
          <w:tcPr>
            <w:tcW w:w="1254" w:type="dxa"/>
            <w:vAlign w:val="center"/>
          </w:tcPr>
          <w:p w14:paraId="3B2D9CF6">
            <w:pPr>
              <w:keepNext w:val="0"/>
              <w:keepLines w:val="0"/>
              <w:suppressLineNumbers w:val="0"/>
              <w:spacing w:before="0" w:beforeAutospacing="0" w:after="0" w:afterAutospacing="0"/>
              <w:ind w:left="0" w:leftChars="0" w:right="0" w:firstLine="210" w:firstLineChars="100"/>
              <w:rPr>
                <w:rFonts w:hint="eastAsia" w:eastAsia="宋体"/>
                <w:szCs w:val="21"/>
                <w:lang w:eastAsia="zh"/>
                <w:woUserID w:val="13"/>
              </w:rPr>
            </w:pPr>
            <w:r>
              <w:rPr>
                <w:rFonts w:hint="eastAsia"/>
                <w:szCs w:val="21"/>
                <w:lang w:eastAsia="zh"/>
                <w:woUserID w:val="13"/>
              </w:rPr>
              <w:t>偏弱</w:t>
            </w:r>
          </w:p>
        </w:tc>
        <w:tc>
          <w:tcPr>
            <w:tcW w:w="6804" w:type="dxa"/>
            <w:vMerge w:val="continue"/>
            <w:shd w:val="clear" w:color="auto" w:fill="auto"/>
          </w:tcPr>
          <w:p w14:paraId="05BDE486">
            <w:pPr>
              <w:keepNext w:val="0"/>
              <w:keepLines w:val="0"/>
              <w:suppressLineNumbers w:val="0"/>
              <w:spacing w:before="0" w:beforeAutospacing="0" w:after="0" w:afterAutospacing="0"/>
              <w:ind w:left="0" w:leftChars="0" w:right="0" w:rightChars="0"/>
              <w:jc w:val="left"/>
              <w:rPr>
                <w:rFonts w:hint="default" w:ascii="宋体" w:hAnsi="宋体" w:eastAsia="宋体"/>
                <w:szCs w:val="21"/>
              </w:rPr>
            </w:pPr>
          </w:p>
        </w:tc>
      </w:tr>
      <w:tr w14:paraId="652AA7E2">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2380" w:hRule="atLeast"/>
          <w:jc w:val="center"/>
        </w:trPr>
        <w:tc>
          <w:tcPr>
            <w:tcW w:w="631" w:type="dxa"/>
            <w:vMerge w:val="continue"/>
            <w:vAlign w:val="center"/>
          </w:tcPr>
          <w:p w14:paraId="3ECCE069">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45FBAF2B">
            <w:pPr>
              <w:keepNext w:val="0"/>
              <w:keepLines w:val="0"/>
              <w:suppressLineNumbers w:val="0"/>
              <w:spacing w:before="0" w:beforeAutospacing="0" w:after="0" w:afterAutospacing="0"/>
              <w:ind w:left="0" w:leftChars="0" w:right="0" w:rightChars="0"/>
              <w:jc w:val="center"/>
              <w:rPr>
                <w:rFonts w:hint="default" w:ascii="宋体" w:hAnsi="宋体" w:cs="宋体"/>
                <w:szCs w:val="21"/>
              </w:rPr>
            </w:pPr>
            <w:r>
              <w:rPr>
                <w:rFonts w:hint="eastAsia" w:ascii="宋体" w:hAnsi="宋体" w:cs="宋体"/>
                <w:szCs w:val="21"/>
              </w:rPr>
              <w:t>纯碱</w:t>
            </w:r>
          </w:p>
        </w:tc>
        <w:tc>
          <w:tcPr>
            <w:tcW w:w="1254" w:type="dxa"/>
            <w:vAlign w:val="center"/>
          </w:tcPr>
          <w:p w14:paraId="6E87E95C">
            <w:pPr>
              <w:keepNext w:val="0"/>
              <w:keepLines w:val="0"/>
              <w:suppressLineNumbers w:val="0"/>
              <w:spacing w:before="0" w:beforeAutospacing="0" w:after="0" w:afterAutospacing="0"/>
              <w:ind w:left="0" w:leftChars="0" w:right="0" w:firstLine="210" w:firstLineChars="100"/>
              <w:rPr>
                <w:rFonts w:hint="eastAsia" w:eastAsia="宋体"/>
                <w:szCs w:val="21"/>
              </w:rPr>
            </w:pPr>
            <w:r>
              <w:rPr>
                <w:rFonts w:hint="eastAsia"/>
                <w:szCs w:val="21"/>
              </w:rPr>
              <w:t>震荡</w:t>
            </w:r>
          </w:p>
        </w:tc>
        <w:tc>
          <w:tcPr>
            <w:tcW w:w="6804" w:type="dxa"/>
            <w:vMerge w:val="continue"/>
            <w:shd w:val="clear" w:color="auto" w:fill="auto"/>
          </w:tcPr>
          <w:p w14:paraId="1F357B10">
            <w:pPr>
              <w:keepNext w:val="0"/>
              <w:keepLines w:val="0"/>
              <w:suppressLineNumbers w:val="0"/>
              <w:spacing w:before="0" w:beforeAutospacing="0" w:after="0" w:afterAutospacing="0"/>
              <w:ind w:left="0" w:leftChars="0" w:right="0" w:rightChars="0"/>
              <w:jc w:val="left"/>
              <w:rPr>
                <w:rFonts w:hint="default" w:ascii="宋体" w:hAnsi="宋体" w:eastAsia="宋体"/>
                <w:szCs w:val="21"/>
              </w:rPr>
            </w:pPr>
          </w:p>
        </w:tc>
      </w:tr>
      <w:tr w14:paraId="6A18A9B3">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600" w:hRule="atLeast"/>
          <w:jc w:val="center"/>
        </w:trPr>
        <w:tc>
          <w:tcPr>
            <w:tcW w:w="631" w:type="dxa"/>
            <w:vMerge w:val="restart"/>
            <w:vAlign w:val="center"/>
          </w:tcPr>
          <w:p w14:paraId="506A3062">
            <w:pPr>
              <w:keepNext w:val="0"/>
              <w:keepLines w:val="0"/>
              <w:suppressLineNumbers w:val="0"/>
              <w:spacing w:before="0" w:beforeAutospacing="0" w:after="0" w:afterAutospacing="0"/>
              <w:ind w:left="0" w:right="0"/>
              <w:jc w:val="center"/>
              <w:rPr>
                <w:rFonts w:hint="default" w:ascii="宋体" w:hAnsi="宋体"/>
                <w:b/>
                <w:sz w:val="24"/>
                <w:szCs w:val="21"/>
              </w:rPr>
            </w:pPr>
          </w:p>
          <w:p w14:paraId="7ADDCF48">
            <w:pPr>
              <w:keepNext w:val="0"/>
              <w:keepLines w:val="0"/>
              <w:suppressLineNumbers w:val="0"/>
              <w:spacing w:before="0" w:beforeAutospacing="0" w:after="0" w:afterAutospacing="0"/>
              <w:ind w:left="0" w:right="0"/>
              <w:jc w:val="center"/>
              <w:rPr>
                <w:rFonts w:hint="default" w:ascii="宋体" w:hAnsi="宋体"/>
                <w:b/>
                <w:sz w:val="24"/>
                <w:szCs w:val="21"/>
              </w:rPr>
            </w:pPr>
          </w:p>
          <w:p w14:paraId="00B488D1">
            <w:pPr>
              <w:keepNext w:val="0"/>
              <w:keepLines w:val="0"/>
              <w:suppressLineNumbers w:val="0"/>
              <w:spacing w:before="0" w:beforeAutospacing="0" w:after="0" w:afterAutospacing="0"/>
              <w:ind w:left="0" w:right="0"/>
              <w:jc w:val="center"/>
              <w:rPr>
                <w:rFonts w:hint="default" w:ascii="宋体" w:hAnsi="宋体"/>
                <w:b/>
                <w:sz w:val="24"/>
                <w:szCs w:val="21"/>
              </w:rPr>
            </w:pPr>
          </w:p>
          <w:p w14:paraId="0C4E1E28">
            <w:pPr>
              <w:keepNext w:val="0"/>
              <w:keepLines w:val="0"/>
              <w:suppressLineNumbers w:val="0"/>
              <w:spacing w:before="0" w:beforeAutospacing="0" w:after="0" w:afterAutospacing="0"/>
              <w:ind w:left="0" w:right="0"/>
              <w:jc w:val="center"/>
              <w:rPr>
                <w:rFonts w:hint="default" w:ascii="宋体" w:hAnsi="宋体"/>
                <w:b/>
                <w:sz w:val="24"/>
                <w:szCs w:val="21"/>
              </w:rPr>
            </w:pPr>
          </w:p>
          <w:p w14:paraId="1A9011E2">
            <w:pPr>
              <w:keepNext w:val="0"/>
              <w:keepLines w:val="0"/>
              <w:suppressLineNumbers w:val="0"/>
              <w:spacing w:before="0" w:beforeAutospacing="0" w:after="0" w:afterAutospacing="0"/>
              <w:ind w:left="0" w:right="0"/>
              <w:jc w:val="center"/>
              <w:rPr>
                <w:rFonts w:hint="default" w:ascii="宋体" w:hAnsi="宋体"/>
                <w:b/>
                <w:sz w:val="24"/>
                <w:szCs w:val="21"/>
              </w:rPr>
            </w:pPr>
          </w:p>
          <w:p w14:paraId="0D7A36E7">
            <w:pPr>
              <w:keepNext w:val="0"/>
              <w:keepLines w:val="0"/>
              <w:suppressLineNumbers w:val="0"/>
              <w:spacing w:before="0" w:beforeAutospacing="0" w:after="0" w:afterAutospacing="0"/>
              <w:ind w:left="0" w:right="0"/>
              <w:jc w:val="center"/>
              <w:rPr>
                <w:rFonts w:hint="default" w:ascii="宋体" w:hAnsi="宋体"/>
                <w:b/>
                <w:sz w:val="24"/>
                <w:szCs w:val="21"/>
              </w:rPr>
            </w:pPr>
          </w:p>
          <w:p w14:paraId="26D8FD89">
            <w:pPr>
              <w:keepNext w:val="0"/>
              <w:keepLines w:val="0"/>
              <w:suppressLineNumbers w:val="0"/>
              <w:spacing w:before="0" w:beforeAutospacing="0" w:after="0" w:afterAutospacing="0"/>
              <w:ind w:left="0" w:right="0"/>
              <w:jc w:val="center"/>
              <w:rPr>
                <w:rFonts w:hint="default" w:ascii="宋体" w:hAnsi="宋体"/>
                <w:b/>
                <w:sz w:val="24"/>
                <w:szCs w:val="21"/>
              </w:rPr>
            </w:pPr>
          </w:p>
          <w:p w14:paraId="5024BC6D">
            <w:pPr>
              <w:keepNext w:val="0"/>
              <w:keepLines w:val="0"/>
              <w:suppressLineNumbers w:val="0"/>
              <w:spacing w:before="0" w:beforeAutospacing="0" w:after="0" w:afterAutospacing="0"/>
              <w:ind w:left="0" w:right="0"/>
              <w:jc w:val="center"/>
              <w:rPr>
                <w:rFonts w:hint="default" w:ascii="宋体" w:hAnsi="宋体"/>
                <w:b/>
                <w:sz w:val="24"/>
                <w:szCs w:val="21"/>
              </w:rPr>
            </w:pPr>
          </w:p>
          <w:p w14:paraId="3503EBD7">
            <w:pPr>
              <w:keepNext w:val="0"/>
              <w:keepLines w:val="0"/>
              <w:suppressLineNumbers w:val="0"/>
              <w:spacing w:before="0" w:beforeAutospacing="0" w:after="0" w:afterAutospacing="0"/>
              <w:ind w:left="0" w:right="0"/>
              <w:jc w:val="center"/>
              <w:rPr>
                <w:rFonts w:hint="default" w:ascii="宋体" w:hAnsi="宋体"/>
                <w:b/>
                <w:sz w:val="24"/>
                <w:szCs w:val="21"/>
              </w:rPr>
            </w:pPr>
          </w:p>
          <w:p w14:paraId="2211A110">
            <w:pPr>
              <w:keepNext w:val="0"/>
              <w:keepLines w:val="0"/>
              <w:suppressLineNumbers w:val="0"/>
              <w:spacing w:before="0" w:beforeAutospacing="0" w:after="0" w:afterAutospacing="0"/>
              <w:ind w:left="0" w:right="0"/>
              <w:jc w:val="center"/>
              <w:rPr>
                <w:rFonts w:hint="default" w:ascii="宋体" w:hAnsi="宋体"/>
                <w:b/>
                <w:sz w:val="24"/>
                <w:szCs w:val="21"/>
              </w:rPr>
            </w:pPr>
          </w:p>
          <w:p w14:paraId="6CBF46A4">
            <w:pPr>
              <w:keepNext w:val="0"/>
              <w:keepLines w:val="0"/>
              <w:suppressLineNumbers w:val="0"/>
              <w:spacing w:before="0" w:beforeAutospacing="0" w:after="0" w:afterAutospacing="0"/>
              <w:ind w:left="0" w:right="0"/>
              <w:jc w:val="center"/>
              <w:rPr>
                <w:rFonts w:hint="default" w:ascii="宋体" w:hAnsi="宋体"/>
                <w:b/>
                <w:sz w:val="24"/>
                <w:szCs w:val="21"/>
              </w:rPr>
            </w:pPr>
            <w:r>
              <w:rPr>
                <w:rFonts w:hint="eastAsia" w:ascii="宋体" w:hAnsi="宋体"/>
                <w:b/>
                <w:sz w:val="24"/>
                <w:szCs w:val="21"/>
              </w:rPr>
              <w:t>金融</w:t>
            </w:r>
          </w:p>
        </w:tc>
        <w:tc>
          <w:tcPr>
            <w:tcW w:w="1397" w:type="dxa"/>
            <w:vAlign w:val="center"/>
          </w:tcPr>
          <w:p w14:paraId="38CA52E5">
            <w:pPr>
              <w:keepNext w:val="0"/>
              <w:keepLines w:val="0"/>
              <w:suppressLineNumbers w:val="0"/>
              <w:spacing w:before="0" w:beforeAutospacing="0" w:after="0" w:afterAutospacing="0" w:line="276" w:lineRule="auto"/>
              <w:ind w:left="0" w:right="0"/>
              <w:jc w:val="center"/>
              <w:rPr>
                <w:rFonts w:hint="default" w:ascii="宋体" w:hAnsi="宋体" w:cs="宋体"/>
                <w:color w:val="000000"/>
                <w:szCs w:val="21"/>
              </w:rPr>
            </w:pPr>
            <w:r>
              <w:rPr>
                <w:rFonts w:hint="eastAsia" w:ascii="宋体" w:hAnsi="宋体"/>
                <w:color w:val="000000"/>
                <w:szCs w:val="21"/>
              </w:rPr>
              <w:t>上证50</w:t>
            </w:r>
          </w:p>
        </w:tc>
        <w:tc>
          <w:tcPr>
            <w:tcW w:w="1254" w:type="dxa"/>
            <w:vAlign w:val="center"/>
          </w:tcPr>
          <w:p w14:paraId="51D8F9A3">
            <w:pPr>
              <w:keepNext w:val="0"/>
              <w:keepLines w:val="0"/>
              <w:suppressLineNumbers w:val="0"/>
              <w:spacing w:before="0" w:beforeAutospacing="0" w:after="0" w:afterAutospacing="0" w:line="276" w:lineRule="auto"/>
              <w:ind w:left="0" w:right="0"/>
              <w:jc w:val="center"/>
              <w:rPr>
                <w:rFonts w:hint="eastAsia" w:ascii="宋体" w:hAnsi="宋体" w:eastAsia="宋体" w:cs="宋体"/>
                <w:color w:val="000000"/>
                <w:szCs w:val="21"/>
                <w:lang w:eastAsia="zh"/>
                <w:woUserID w:val="1"/>
              </w:rPr>
            </w:pPr>
            <w:r>
              <w:rPr>
                <w:rFonts w:hint="eastAsia" w:ascii="宋体" w:hAnsi="宋体" w:cs="宋体"/>
                <w:color w:val="000000"/>
                <w:szCs w:val="21"/>
                <w:lang w:eastAsia="zh"/>
                <w:woUserID w:val="1"/>
              </w:rPr>
              <w:t>震荡</w:t>
            </w:r>
          </w:p>
        </w:tc>
        <w:tc>
          <w:tcPr>
            <w:tcW w:w="6804" w:type="dxa"/>
            <w:vMerge w:val="restart"/>
            <w:shd w:val="clear" w:color="auto" w:fill="auto"/>
          </w:tcPr>
          <w:p w14:paraId="61BDE2E7">
            <w:pPr>
              <w:keepNext w:val="0"/>
              <w:keepLines w:val="0"/>
              <w:widowControl w:val="0"/>
              <w:suppressLineNumbers w:val="0"/>
              <w:spacing w:before="0" w:beforeAutospacing="0" w:after="0" w:afterAutospacing="0"/>
              <w:ind w:left="0" w:right="0"/>
              <w:jc w:val="both"/>
              <w:rPr>
                <w:rFonts w:hint="eastAsia" w:ascii="宋体" w:hAnsi="宋体" w:cs="宋体"/>
                <w:kern w:val="2"/>
                <w:sz w:val="21"/>
                <w:szCs w:val="21"/>
                <w:lang w:val="en-US" w:eastAsia="zh" w:bidi="ar"/>
                <w:woUserID w:val="1"/>
              </w:rPr>
            </w:pPr>
            <w:r>
              <w:rPr>
                <w:rFonts w:hint="eastAsia" w:ascii="宋体" w:hAnsi="宋体" w:eastAsia="宋体" w:cs="宋体"/>
                <w:b/>
                <w:bCs w:val="0"/>
                <w:kern w:val="2"/>
                <w:sz w:val="21"/>
                <w:szCs w:val="21"/>
                <w:lang w:val="en-US" w:eastAsia="zh-CN" w:bidi="ar"/>
              </w:rPr>
              <w:t>股指期货/期权：</w:t>
            </w:r>
            <w:r>
              <w:rPr>
                <w:rFonts w:hint="eastAsia" w:ascii="宋体" w:hAnsi="宋体" w:eastAsia="宋体" w:cs="宋体"/>
                <w:kern w:val="2"/>
                <w:sz w:val="21"/>
                <w:szCs w:val="21"/>
                <w:lang w:val="en-US" w:eastAsia="zh-CN" w:bidi="ar"/>
              </w:rPr>
              <w:t>上一交易日，沪深300股指收录</w:t>
            </w:r>
            <w:r>
              <w:rPr>
                <w:rFonts w:hint="eastAsia" w:ascii="宋体" w:hAnsi="宋体" w:cs="宋体"/>
                <w:kern w:val="2"/>
                <w:sz w:val="21"/>
                <w:szCs w:val="21"/>
                <w:lang w:val="en-US" w:eastAsia="zh" w:bidi="ar"/>
                <w:woUserID w:val="1"/>
              </w:rPr>
              <w:t>-0.36%</w:t>
            </w:r>
            <w:r>
              <w:rPr>
                <w:rFonts w:hint="eastAsia" w:ascii="宋体" w:hAnsi="宋体" w:eastAsia="宋体" w:cs="宋体"/>
                <w:kern w:val="2"/>
                <w:sz w:val="21"/>
                <w:szCs w:val="21"/>
                <w:lang w:val="en-US" w:eastAsia="zh-CN" w:bidi="ar"/>
              </w:rPr>
              <w:t>，上证50股指收录</w:t>
            </w:r>
            <w:r>
              <w:rPr>
                <w:rFonts w:hint="eastAsia" w:ascii="宋体" w:hAnsi="宋体" w:cs="宋体"/>
                <w:kern w:val="2"/>
                <w:sz w:val="21"/>
                <w:szCs w:val="21"/>
                <w:lang w:val="en-US" w:eastAsia="zh" w:bidi="ar"/>
                <w:woUserID w:val="1"/>
              </w:rPr>
              <w:t>-0.49%</w:t>
            </w:r>
            <w:r>
              <w:rPr>
                <w:rFonts w:hint="eastAsia" w:ascii="宋体" w:hAnsi="宋体" w:eastAsia="宋体" w:cs="宋体"/>
                <w:kern w:val="2"/>
                <w:sz w:val="21"/>
                <w:szCs w:val="21"/>
                <w:lang w:val="en-US" w:eastAsia="zh-CN" w:bidi="ar"/>
              </w:rPr>
              <w:t>，中证500股指收录</w:t>
            </w:r>
            <w:r>
              <w:rPr>
                <w:rFonts w:hint="eastAsia" w:ascii="宋体" w:hAnsi="宋体" w:cs="宋体"/>
                <w:kern w:val="2"/>
                <w:sz w:val="21"/>
                <w:szCs w:val="21"/>
                <w:lang w:val="en-US" w:eastAsia="zh" w:bidi="ar"/>
                <w:woUserID w:val="1"/>
              </w:rPr>
              <w:t>-0.07%</w:t>
            </w:r>
            <w:r>
              <w:rPr>
                <w:rFonts w:hint="eastAsia" w:ascii="宋体" w:hAnsi="宋体" w:eastAsia="宋体" w:cs="宋体"/>
                <w:kern w:val="2"/>
                <w:sz w:val="21"/>
                <w:szCs w:val="21"/>
                <w:lang w:val="en-US" w:eastAsia="zh-CN" w:bidi="ar"/>
              </w:rPr>
              <w:t>，中证1000股指收录</w:t>
            </w:r>
            <w:r>
              <w:rPr>
                <w:rFonts w:hint="eastAsia" w:ascii="宋体" w:hAnsi="宋体" w:cs="宋体"/>
                <w:kern w:val="2"/>
                <w:sz w:val="21"/>
                <w:szCs w:val="21"/>
                <w:lang w:val="en-US" w:eastAsia="zh" w:bidi="ar"/>
                <w:woUserID w:val="1"/>
              </w:rPr>
              <w:t>0.23%</w:t>
            </w:r>
          </w:p>
          <w:p w14:paraId="4EA3C7E9">
            <w:pPr>
              <w:keepNext w:val="0"/>
              <w:keepLines w:val="0"/>
              <w:widowControl w:val="0"/>
              <w:suppressLineNumbers w:val="0"/>
              <w:spacing w:before="0" w:beforeAutospacing="0" w:after="0" w:afterAutospacing="0"/>
              <w:ind w:left="0" w:right="0"/>
              <w:jc w:val="both"/>
              <w:rPr>
                <w:rFonts w:hint="eastAsia" w:ascii="宋体" w:hAnsi="宋体" w:eastAsia="宋体" w:cs="Times New Roman"/>
                <w:kern w:val="2"/>
                <w:sz w:val="21"/>
                <w:szCs w:val="21"/>
              </w:rPr>
            </w:pP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 w:bidi="ar"/>
                <w:woUserID w:val="1"/>
              </w:rPr>
              <w:t>办公用品、文化传媒</w:t>
            </w:r>
            <w:r>
              <w:rPr>
                <w:rFonts w:hint="eastAsia" w:ascii="宋体" w:hAnsi="宋体" w:eastAsia="宋体" w:cs="宋体"/>
                <w:kern w:val="2"/>
                <w:sz w:val="21"/>
                <w:szCs w:val="21"/>
                <w:lang w:val="en-US" w:eastAsia="zh-CN" w:bidi="ar"/>
              </w:rPr>
              <w:t>板块资金流入，</w:t>
            </w:r>
            <w:r>
              <w:rPr>
                <w:rFonts w:hint="eastAsia" w:ascii="宋体" w:hAnsi="宋体" w:cs="宋体"/>
                <w:kern w:val="2"/>
                <w:sz w:val="21"/>
                <w:szCs w:val="21"/>
                <w:lang w:val="en-US" w:eastAsia="zh" w:bidi="ar"/>
                <w:woUserID w:val="1"/>
              </w:rPr>
              <w:t>软饮料、工程机械</w:t>
            </w:r>
            <w:r>
              <w:rPr>
                <w:rFonts w:hint="eastAsia" w:ascii="宋体" w:hAnsi="宋体" w:eastAsia="宋体" w:cs="宋体"/>
                <w:kern w:val="2"/>
                <w:sz w:val="21"/>
                <w:szCs w:val="21"/>
                <w:lang w:val="en-US" w:eastAsia="zh-CN" w:bidi="ar"/>
              </w:rPr>
              <w:t>板块资金流出。</w:t>
            </w:r>
            <w:r>
              <w:rPr>
                <w:rFonts w:hint="eastAsia" w:ascii="宋体" w:hAnsi="宋体" w:cs="宋体"/>
                <w:kern w:val="2"/>
                <w:sz w:val="21"/>
                <w:szCs w:val="21"/>
                <w:lang w:val="en-US" w:eastAsia="zh" w:bidi="ar"/>
                <w:woUserID w:val="1"/>
              </w:rPr>
              <w:t>国务院总理李强主持召开国务院常务会议，讨论通过《国务院2025年重点工作分工方案》。会议指出，要细化措施加快落实，与各种不确定因素抢时间，紧抓快干、靠前发力。同时密切跟踪形势变化，做好政策储备，确保需要时能够及时推出、尽快见效。要聚焦重点精准发力，善于找到牵引性、撬动性强的切入点，不断谋划新的抓手和载体，以点带面提升抓落实的整体效能。商务部办公厅发布《关于进一步用好广交会平台 服务乡村振兴扩大消费帮扶的通知》，请外贸中心对现有乡村振兴特色产品展区进行优化升级，通过完善展区设计、提供特装服务、增加引导标识、扩大广告宣传、线上线下引流、提供翻译服务等措施，进一步优化服务、提升展区形象；继续保持展位费减免力度，同时对乡村振兴特色产品展区免收配置费，更好帮助脱贫地区企业开拓国际市场，扩大广交会服务乡村振兴影响力。市场看涨情绪上升，风险偏好未有回落，</w:t>
            </w:r>
            <w:r>
              <w:rPr>
                <w:rFonts w:hint="eastAsia" w:ascii="宋体" w:hAnsi="宋体" w:eastAsia="宋体" w:cs="宋体"/>
                <w:kern w:val="2"/>
                <w:sz w:val="21"/>
                <w:szCs w:val="21"/>
                <w:lang w:val="en-US" w:eastAsia="zh-CN" w:bidi="ar"/>
              </w:rPr>
              <w:t>股指多头</w:t>
            </w:r>
            <w:r>
              <w:rPr>
                <w:rFonts w:hint="eastAsia" w:ascii="宋体" w:hAnsi="宋体" w:cs="宋体"/>
                <w:kern w:val="2"/>
                <w:sz w:val="21"/>
                <w:szCs w:val="21"/>
                <w:lang w:val="en-US" w:eastAsia="zh" w:bidi="ar"/>
                <w:woUserID w:val="1"/>
              </w:rPr>
              <w:t>持有</w:t>
            </w:r>
            <w:r>
              <w:rPr>
                <w:rFonts w:hint="eastAsia" w:ascii="宋体" w:hAnsi="宋体" w:eastAsia="宋体" w:cs="宋体"/>
                <w:kern w:val="2"/>
                <w:sz w:val="21"/>
                <w:szCs w:val="21"/>
                <w:lang w:val="en-US" w:eastAsia="zh-CN" w:bidi="ar"/>
              </w:rPr>
              <w:t>。</w:t>
            </w:r>
          </w:p>
          <w:p w14:paraId="65C5AA67">
            <w:pPr>
              <w:keepNext w:val="0"/>
              <w:keepLines w:val="0"/>
              <w:widowControl w:val="0"/>
              <w:suppressLineNumbers w:val="0"/>
              <w:spacing w:before="0" w:beforeAutospacing="0" w:after="0" w:afterAutospacing="0"/>
              <w:ind w:left="0" w:right="0"/>
              <w:jc w:val="both"/>
              <w:rPr>
                <w:rFonts w:hint="default" w:ascii="宋体" w:hAnsi="宋体"/>
                <w:color w:val="000000"/>
                <w:szCs w:val="21"/>
              </w:rPr>
            </w:pPr>
            <w:r>
              <w:rPr>
                <w:rFonts w:hint="eastAsia" w:ascii="宋体" w:hAnsi="宋体" w:eastAsia="宋体" w:cs="宋体"/>
                <w:b/>
                <w:bCs w:val="0"/>
                <w:kern w:val="2"/>
                <w:sz w:val="21"/>
                <w:szCs w:val="21"/>
                <w:lang w:val="en-US" w:eastAsia="zh-CN" w:bidi="ar"/>
              </w:rPr>
              <w:t>国债：</w:t>
            </w:r>
            <w:r>
              <w:rPr>
                <w:rFonts w:hint="eastAsia" w:ascii="宋体" w:hAnsi="宋体" w:eastAsia="宋体" w:cs="宋体"/>
                <w:kern w:val="2"/>
                <w:sz w:val="21"/>
                <w:szCs w:val="21"/>
                <w:lang w:val="en-US" w:eastAsia="zh-CN" w:bidi="ar"/>
              </w:rPr>
              <w:t>中债十年期到期收益率</w:t>
            </w:r>
            <w:r>
              <w:rPr>
                <w:rFonts w:hint="eastAsia" w:ascii="宋体" w:hAnsi="宋体" w:cs="宋体"/>
                <w:kern w:val="2"/>
                <w:sz w:val="21"/>
                <w:szCs w:val="21"/>
                <w:lang w:val="en-US" w:eastAsia="zh" w:bidi="ar"/>
                <w:woUserID w:val="1"/>
              </w:rPr>
              <w:t>下行4</w:t>
            </w:r>
            <w:r>
              <w:rPr>
                <w:rFonts w:hint="eastAsia" w:ascii="宋体" w:hAnsi="宋体" w:eastAsia="宋体" w:cs="宋体"/>
                <w:kern w:val="2"/>
                <w:sz w:val="21"/>
                <w:szCs w:val="21"/>
                <w:lang w:val="en-US" w:eastAsia="zh-CN" w:bidi="ar"/>
              </w:rPr>
              <w:t>bp</w:t>
            </w:r>
            <w:r>
              <w:rPr>
                <w:rFonts w:hint="eastAsia" w:ascii="宋体" w:hAnsi="宋体" w:cs="宋体"/>
                <w:kern w:val="2"/>
                <w:sz w:val="21"/>
                <w:szCs w:val="21"/>
                <w:lang w:val="en-US" w:eastAsia="zh" w:bidi="ar"/>
                <w:woUserID w:val="1"/>
              </w:rPr>
              <w:t>s</w:t>
            </w:r>
            <w:r>
              <w:rPr>
                <w:rFonts w:hint="eastAsia" w:ascii="宋体" w:hAnsi="宋体" w:eastAsia="宋体" w:cs="宋体"/>
                <w:kern w:val="2"/>
                <w:sz w:val="21"/>
                <w:szCs w:val="21"/>
                <w:lang w:val="en-US" w:eastAsia="zh-CN" w:bidi="ar"/>
              </w:rPr>
              <w:t>，FR007</w:t>
            </w:r>
            <w:r>
              <w:rPr>
                <w:rFonts w:hint="eastAsia" w:ascii="宋体" w:hAnsi="宋体" w:cs="宋体"/>
                <w:kern w:val="2"/>
                <w:sz w:val="21"/>
                <w:szCs w:val="21"/>
                <w:lang w:val="en-US" w:eastAsia="zh" w:bidi="ar"/>
                <w:woUserID w:val="1"/>
              </w:rPr>
              <w:t>持平</w:t>
            </w:r>
            <w:r>
              <w:rPr>
                <w:rFonts w:hint="eastAsia" w:ascii="宋体" w:hAnsi="宋体" w:eastAsia="宋体" w:cs="宋体"/>
                <w:kern w:val="2"/>
                <w:sz w:val="21"/>
                <w:szCs w:val="21"/>
                <w:lang w:val="en-US" w:eastAsia="zh-CN" w:bidi="ar"/>
              </w:rPr>
              <w:t>，SHIBOR3M</w:t>
            </w:r>
            <w:r>
              <w:rPr>
                <w:rFonts w:hint="eastAsia" w:ascii="宋体" w:hAnsi="宋体" w:cs="宋体"/>
                <w:kern w:val="2"/>
                <w:sz w:val="21"/>
                <w:szCs w:val="21"/>
                <w:lang w:val="en-US" w:eastAsia="zh" w:bidi="ar"/>
                <w:woUserID w:val="1"/>
              </w:rPr>
              <w:t>上升1bp</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 w:bidi="ar"/>
                <w:woUserID w:val="1"/>
              </w:rPr>
              <w:t>央行公告称，为保持银行体系流动性充裕，3月12日以固定利率、数量招标方式开展了1754亿元7天期逆回购操作，操作利率为1.5%。Wind数据显示，当日3532亿元逆回购到期，因此单日净回笼1778亿元；3月13日将有1045亿元逆回购到期。</w:t>
            </w:r>
            <w:r>
              <w:rPr>
                <w:rFonts w:hint="eastAsia" w:ascii="宋体" w:hAnsi="宋体" w:eastAsia="宋体" w:cs="宋体"/>
                <w:kern w:val="2"/>
                <w:sz w:val="21"/>
                <w:szCs w:val="21"/>
                <w:lang w:val="en-US" w:eastAsia="zh-CN" w:bidi="ar"/>
              </w:rPr>
              <w:t>利率反弹，市场资金总体平稳，国债多头减持。</w:t>
            </w:r>
          </w:p>
        </w:tc>
      </w:tr>
      <w:tr w14:paraId="6B684C14">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552" w:hRule="atLeast"/>
          <w:jc w:val="center"/>
        </w:trPr>
        <w:tc>
          <w:tcPr>
            <w:tcW w:w="631" w:type="dxa"/>
            <w:vMerge w:val="continue"/>
            <w:vAlign w:val="center"/>
          </w:tcPr>
          <w:p w14:paraId="617ABDDB">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302E51A5">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沪深300</w:t>
            </w:r>
          </w:p>
        </w:tc>
        <w:tc>
          <w:tcPr>
            <w:tcW w:w="1254" w:type="dxa"/>
            <w:vAlign w:val="center"/>
          </w:tcPr>
          <w:p w14:paraId="23354B97">
            <w:pPr>
              <w:keepNext w:val="0"/>
              <w:keepLines w:val="0"/>
              <w:suppressLineNumbers w:val="0"/>
              <w:spacing w:before="0" w:beforeAutospacing="0" w:after="0" w:afterAutospacing="0" w:line="276" w:lineRule="auto"/>
              <w:ind w:left="0" w:right="0"/>
              <w:jc w:val="center"/>
              <w:rPr>
                <w:rFonts w:hint="eastAsia" w:eastAsia="宋体"/>
                <w:color w:val="000000"/>
                <w:szCs w:val="21"/>
                <w:lang w:eastAsia="zh"/>
                <w:woUserID w:val="1"/>
              </w:rPr>
            </w:pPr>
            <w:r>
              <w:rPr>
                <w:rFonts w:hint="eastAsia"/>
                <w:color w:val="000000"/>
                <w:szCs w:val="21"/>
                <w:lang w:eastAsia="zh"/>
                <w:woUserID w:val="1"/>
              </w:rPr>
              <w:t>震荡</w:t>
            </w:r>
          </w:p>
        </w:tc>
        <w:tc>
          <w:tcPr>
            <w:tcW w:w="6804" w:type="dxa"/>
            <w:vMerge w:val="continue"/>
            <w:shd w:val="clear" w:color="auto" w:fill="auto"/>
          </w:tcPr>
          <w:p w14:paraId="5C058786">
            <w:pPr>
              <w:keepNext w:val="0"/>
              <w:keepLines w:val="0"/>
              <w:widowControl/>
              <w:suppressLineNumbers w:val="0"/>
              <w:spacing w:before="0" w:beforeAutospacing="0" w:after="0" w:afterAutospacing="0" w:line="276" w:lineRule="auto"/>
              <w:ind w:left="0" w:right="0"/>
              <w:rPr>
                <w:rFonts w:hint="default" w:ascii="宋体" w:hAnsi="宋体" w:eastAsia="宋体"/>
                <w:szCs w:val="21"/>
              </w:rPr>
            </w:pPr>
          </w:p>
        </w:tc>
      </w:tr>
      <w:tr w14:paraId="69D39A6A">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85" w:hRule="atLeast"/>
          <w:jc w:val="center"/>
        </w:trPr>
        <w:tc>
          <w:tcPr>
            <w:tcW w:w="631" w:type="dxa"/>
            <w:vMerge w:val="continue"/>
            <w:vAlign w:val="center"/>
          </w:tcPr>
          <w:p w14:paraId="12655E5A">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7F3F7F94">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中证500</w:t>
            </w:r>
          </w:p>
        </w:tc>
        <w:tc>
          <w:tcPr>
            <w:tcW w:w="1254" w:type="dxa"/>
            <w:vAlign w:val="center"/>
          </w:tcPr>
          <w:p w14:paraId="202E749B">
            <w:pPr>
              <w:keepNext w:val="0"/>
              <w:keepLines w:val="0"/>
              <w:widowControl w:val="0"/>
              <w:suppressLineNumbers w:val="0"/>
              <w:spacing w:before="0" w:beforeAutospacing="0" w:after="0" w:afterAutospacing="0" w:line="273" w:lineRule="auto"/>
              <w:ind w:left="0" w:leftChars="0" w:right="0" w:rightChars="0"/>
              <w:jc w:val="center"/>
              <w:rPr>
                <w:rFonts w:hint="eastAsia" w:eastAsia="宋体"/>
                <w:color w:val="000000"/>
                <w:szCs w:val="21"/>
                <w:lang w:eastAsia="zh"/>
                <w:woUserID w:val="1"/>
              </w:rPr>
            </w:pPr>
            <w:r>
              <w:rPr>
                <w:rFonts w:hint="eastAsia"/>
                <w:color w:val="000000"/>
                <w:szCs w:val="21"/>
                <w:lang w:eastAsia="zh"/>
                <w:woUserID w:val="1"/>
              </w:rPr>
              <w:t>反弹</w:t>
            </w:r>
          </w:p>
        </w:tc>
        <w:tc>
          <w:tcPr>
            <w:tcW w:w="6804" w:type="dxa"/>
            <w:vMerge w:val="continue"/>
            <w:shd w:val="clear" w:color="auto" w:fill="auto"/>
          </w:tcPr>
          <w:p w14:paraId="337F63AC">
            <w:pPr>
              <w:keepNext w:val="0"/>
              <w:keepLines w:val="0"/>
              <w:widowControl/>
              <w:suppressLineNumbers w:val="0"/>
              <w:spacing w:before="0" w:beforeAutospacing="0" w:after="0" w:afterAutospacing="0" w:line="276" w:lineRule="auto"/>
              <w:ind w:left="0" w:right="0"/>
              <w:rPr>
                <w:rFonts w:hint="default" w:ascii="宋体" w:hAnsi="宋体" w:eastAsia="宋体"/>
                <w:szCs w:val="21"/>
              </w:rPr>
            </w:pPr>
          </w:p>
        </w:tc>
      </w:tr>
      <w:tr w14:paraId="1A8BA23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789" w:hRule="atLeast"/>
          <w:jc w:val="center"/>
        </w:trPr>
        <w:tc>
          <w:tcPr>
            <w:tcW w:w="631" w:type="dxa"/>
            <w:vMerge w:val="continue"/>
            <w:vAlign w:val="center"/>
          </w:tcPr>
          <w:p w14:paraId="5E9307AC">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76847E46">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中证1000</w:t>
            </w:r>
          </w:p>
        </w:tc>
        <w:tc>
          <w:tcPr>
            <w:tcW w:w="1254" w:type="dxa"/>
            <w:vAlign w:val="center"/>
          </w:tcPr>
          <w:p w14:paraId="74D255E8">
            <w:pPr>
              <w:keepNext w:val="0"/>
              <w:keepLines w:val="0"/>
              <w:widowControl w:val="0"/>
              <w:suppressLineNumbers w:val="0"/>
              <w:spacing w:before="0" w:beforeAutospacing="0" w:after="0" w:afterAutospacing="0" w:line="273" w:lineRule="auto"/>
              <w:ind w:left="0" w:leftChars="0" w:right="0" w:rightChars="0"/>
              <w:jc w:val="center"/>
              <w:rPr>
                <w:rFonts w:hint="eastAsia" w:eastAsia="宋体"/>
                <w:color w:val="000000"/>
                <w:szCs w:val="21"/>
                <w:lang w:eastAsia="zh"/>
                <w:woUserID w:val="1"/>
              </w:rPr>
            </w:pPr>
            <w:r>
              <w:rPr>
                <w:rFonts w:hint="eastAsia"/>
                <w:color w:val="000000"/>
                <w:szCs w:val="21"/>
                <w:lang w:eastAsia="zh"/>
                <w:woUserID w:val="1"/>
              </w:rPr>
              <w:t>反弹</w:t>
            </w:r>
          </w:p>
        </w:tc>
        <w:tc>
          <w:tcPr>
            <w:tcW w:w="6804" w:type="dxa"/>
            <w:vMerge w:val="continue"/>
            <w:shd w:val="clear" w:color="auto" w:fill="auto"/>
          </w:tcPr>
          <w:p w14:paraId="5F256E13">
            <w:pPr>
              <w:keepNext w:val="0"/>
              <w:keepLines w:val="0"/>
              <w:widowControl/>
              <w:suppressLineNumbers w:val="0"/>
              <w:spacing w:before="0" w:beforeAutospacing="0" w:after="0" w:afterAutospacing="0" w:line="276" w:lineRule="auto"/>
              <w:ind w:left="0" w:right="0"/>
              <w:rPr>
                <w:rFonts w:hint="default" w:ascii="宋体" w:hAnsi="宋体" w:eastAsia="宋体"/>
                <w:szCs w:val="21"/>
              </w:rPr>
            </w:pPr>
          </w:p>
        </w:tc>
      </w:tr>
      <w:tr w14:paraId="425328A1">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PrEx>
        <w:trPr>
          <w:trHeight w:val="896" w:hRule="atLeast"/>
          <w:jc w:val="center"/>
        </w:trPr>
        <w:tc>
          <w:tcPr>
            <w:tcW w:w="631" w:type="dxa"/>
            <w:vMerge w:val="continue"/>
            <w:vAlign w:val="center"/>
          </w:tcPr>
          <w:p w14:paraId="3A25F40B">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07D03E2F">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2年期国债</w:t>
            </w:r>
          </w:p>
        </w:tc>
        <w:tc>
          <w:tcPr>
            <w:tcW w:w="1254" w:type="dxa"/>
            <w:vAlign w:val="center"/>
          </w:tcPr>
          <w:p w14:paraId="4F81D61B">
            <w:pPr>
              <w:keepNext w:val="0"/>
              <w:keepLines w:val="0"/>
              <w:widowControl w:val="0"/>
              <w:suppressLineNumbers w:val="0"/>
              <w:spacing w:before="0" w:beforeAutospacing="0" w:after="0" w:afterAutospacing="0" w:line="273" w:lineRule="auto"/>
              <w:ind w:left="0" w:leftChars="0" w:right="0" w:rightChars="0"/>
              <w:jc w:val="center"/>
              <w:rPr>
                <w:rFonts w:hint="eastAsia" w:eastAsia="宋体"/>
                <w:color w:val="000000"/>
                <w:szCs w:val="21"/>
              </w:rPr>
            </w:pPr>
            <w:r>
              <w:rPr>
                <w:rFonts w:hint="eastAsia" w:ascii="宋体" w:hAnsi="宋体" w:eastAsia="宋体" w:cs="宋体"/>
                <w:color w:val="000000"/>
                <w:kern w:val="2"/>
                <w:sz w:val="21"/>
                <w:szCs w:val="21"/>
                <w:lang w:val="en-US" w:eastAsia="zh-CN" w:bidi="ar"/>
              </w:rPr>
              <w:t>震荡</w:t>
            </w:r>
          </w:p>
        </w:tc>
        <w:tc>
          <w:tcPr>
            <w:tcW w:w="6804" w:type="dxa"/>
            <w:vMerge w:val="continue"/>
            <w:shd w:val="clear" w:color="auto" w:fill="auto"/>
          </w:tcPr>
          <w:p w14:paraId="2B8DF9FD">
            <w:pPr>
              <w:keepNext w:val="0"/>
              <w:keepLines w:val="0"/>
              <w:widowControl/>
              <w:suppressLineNumbers w:val="0"/>
              <w:spacing w:before="0" w:beforeAutospacing="0" w:after="0" w:afterAutospacing="0" w:line="276" w:lineRule="auto"/>
              <w:ind w:left="0" w:right="0"/>
              <w:rPr>
                <w:rFonts w:hint="default" w:ascii="宋体" w:hAnsi="宋体" w:eastAsia="宋体"/>
                <w:szCs w:val="21"/>
              </w:rPr>
            </w:pPr>
          </w:p>
        </w:tc>
      </w:tr>
      <w:tr w14:paraId="4879AD0D">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91" w:hRule="atLeast"/>
          <w:jc w:val="center"/>
        </w:trPr>
        <w:tc>
          <w:tcPr>
            <w:tcW w:w="631" w:type="dxa"/>
            <w:vMerge w:val="continue"/>
            <w:vAlign w:val="center"/>
          </w:tcPr>
          <w:p w14:paraId="3C2C5330">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1071D928">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5年期国债</w:t>
            </w:r>
          </w:p>
        </w:tc>
        <w:tc>
          <w:tcPr>
            <w:tcW w:w="1254" w:type="dxa"/>
            <w:vAlign w:val="center"/>
          </w:tcPr>
          <w:p w14:paraId="4E208C3E">
            <w:pPr>
              <w:keepNext w:val="0"/>
              <w:keepLines w:val="0"/>
              <w:widowControl w:val="0"/>
              <w:suppressLineNumbers w:val="0"/>
              <w:spacing w:before="0" w:beforeAutospacing="0" w:after="0" w:afterAutospacing="0" w:line="273" w:lineRule="auto"/>
              <w:ind w:left="0" w:leftChars="0" w:right="0" w:rightChars="0"/>
              <w:jc w:val="center"/>
              <w:rPr>
                <w:rFonts w:hint="eastAsia" w:eastAsia="宋体"/>
                <w:color w:val="000000"/>
                <w:szCs w:val="21"/>
              </w:rPr>
            </w:pPr>
            <w:r>
              <w:rPr>
                <w:rFonts w:hint="eastAsia" w:ascii="宋体" w:hAnsi="宋体" w:eastAsia="宋体" w:cs="宋体"/>
                <w:color w:val="000000"/>
                <w:kern w:val="2"/>
                <w:sz w:val="21"/>
                <w:szCs w:val="21"/>
                <w:lang w:val="en-US" w:eastAsia="zh-CN" w:bidi="ar"/>
              </w:rPr>
              <w:t>回落</w:t>
            </w:r>
          </w:p>
        </w:tc>
        <w:tc>
          <w:tcPr>
            <w:tcW w:w="6804" w:type="dxa"/>
            <w:vMerge w:val="continue"/>
            <w:shd w:val="clear" w:color="auto" w:fill="auto"/>
          </w:tcPr>
          <w:p w14:paraId="5423DAE7">
            <w:pPr>
              <w:keepNext w:val="0"/>
              <w:keepLines w:val="0"/>
              <w:widowControl/>
              <w:suppressLineNumbers w:val="0"/>
              <w:spacing w:before="0" w:beforeAutospacing="0" w:after="0" w:afterAutospacing="0" w:line="276" w:lineRule="auto"/>
              <w:ind w:left="0" w:right="0"/>
              <w:rPr>
                <w:rFonts w:hint="default" w:ascii="宋体" w:hAnsi="宋体" w:eastAsia="宋体"/>
                <w:szCs w:val="21"/>
              </w:rPr>
            </w:pPr>
          </w:p>
        </w:tc>
      </w:tr>
      <w:tr w14:paraId="09601463">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360" w:hRule="atLeast"/>
          <w:jc w:val="center"/>
        </w:trPr>
        <w:tc>
          <w:tcPr>
            <w:tcW w:w="631" w:type="dxa"/>
            <w:vMerge w:val="continue"/>
            <w:vAlign w:val="center"/>
          </w:tcPr>
          <w:p w14:paraId="0408455F">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2B2D6A8B">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color w:val="000000"/>
                <w:szCs w:val="21"/>
              </w:rPr>
              <w:t>10年期国债</w:t>
            </w:r>
          </w:p>
        </w:tc>
        <w:tc>
          <w:tcPr>
            <w:tcW w:w="1254" w:type="dxa"/>
            <w:vAlign w:val="center"/>
          </w:tcPr>
          <w:p w14:paraId="558EEBE1">
            <w:pPr>
              <w:keepNext w:val="0"/>
              <w:keepLines w:val="0"/>
              <w:widowControl w:val="0"/>
              <w:suppressLineNumbers w:val="0"/>
              <w:spacing w:before="0" w:beforeAutospacing="0" w:after="0" w:afterAutospacing="0" w:line="273" w:lineRule="auto"/>
              <w:ind w:left="0" w:leftChars="0" w:right="0" w:rightChars="0"/>
              <w:jc w:val="center"/>
              <w:rPr>
                <w:rFonts w:hint="eastAsia" w:eastAsia="宋体"/>
                <w:color w:val="000000"/>
                <w:szCs w:val="21"/>
                <w:lang w:eastAsia="zh"/>
                <w:woUserID w:val="11"/>
              </w:rPr>
            </w:pPr>
            <w:r>
              <w:rPr>
                <w:rFonts w:hint="eastAsia" w:ascii="宋体" w:hAnsi="宋体" w:eastAsia="宋体" w:cs="宋体"/>
                <w:color w:val="000000"/>
                <w:kern w:val="2"/>
                <w:sz w:val="21"/>
                <w:szCs w:val="21"/>
                <w:lang w:val="en-US" w:eastAsia="zh-CN" w:bidi="ar"/>
              </w:rPr>
              <w:t>回落</w:t>
            </w:r>
          </w:p>
        </w:tc>
        <w:tc>
          <w:tcPr>
            <w:tcW w:w="6804" w:type="dxa"/>
            <w:vMerge w:val="continue"/>
            <w:shd w:val="clear" w:color="auto" w:fill="auto"/>
          </w:tcPr>
          <w:p w14:paraId="0B20F948">
            <w:pPr>
              <w:keepNext w:val="0"/>
              <w:keepLines w:val="0"/>
              <w:suppressLineNumbers w:val="0"/>
              <w:spacing w:before="0" w:beforeAutospacing="0" w:after="0" w:afterAutospacing="0"/>
              <w:ind w:left="0" w:right="0"/>
              <w:rPr>
                <w:rFonts w:hint="default" w:ascii="宋体" w:hAnsi="宋体" w:eastAsia="宋体"/>
                <w:szCs w:val="21"/>
              </w:rPr>
            </w:pPr>
          </w:p>
        </w:tc>
      </w:tr>
      <w:tr w14:paraId="3A07BA64">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2580" w:hRule="atLeast"/>
          <w:jc w:val="center"/>
        </w:trPr>
        <w:tc>
          <w:tcPr>
            <w:tcW w:w="631" w:type="dxa"/>
            <w:vMerge w:val="restart"/>
            <w:vAlign w:val="center"/>
          </w:tcPr>
          <w:p w14:paraId="50885CF9">
            <w:pPr>
              <w:keepNext w:val="0"/>
              <w:keepLines w:val="0"/>
              <w:suppressLineNumbers w:val="0"/>
              <w:spacing w:before="0" w:beforeAutospacing="0" w:after="0" w:afterAutospacing="0"/>
              <w:ind w:left="0" w:right="0"/>
              <w:jc w:val="center"/>
              <w:rPr>
                <w:rFonts w:hint="default" w:ascii="宋体" w:hAnsi="宋体"/>
                <w:b/>
                <w:sz w:val="24"/>
                <w:szCs w:val="21"/>
              </w:rPr>
            </w:pPr>
            <w:r>
              <w:rPr>
                <w:rFonts w:hint="eastAsia" w:ascii="宋体" w:hAnsi="宋体"/>
                <w:b/>
                <w:sz w:val="24"/>
                <w:szCs w:val="21"/>
              </w:rPr>
              <w:t>贵金属</w:t>
            </w:r>
          </w:p>
        </w:tc>
        <w:tc>
          <w:tcPr>
            <w:tcW w:w="1397" w:type="dxa"/>
            <w:vAlign w:val="center"/>
          </w:tcPr>
          <w:p w14:paraId="5CA683ED">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黄金</w:t>
            </w:r>
          </w:p>
        </w:tc>
        <w:tc>
          <w:tcPr>
            <w:tcW w:w="1254" w:type="dxa"/>
            <w:vAlign w:val="center"/>
          </w:tcPr>
          <w:p w14:paraId="38F4A6D4">
            <w:pPr>
              <w:keepNext w:val="0"/>
              <w:keepLines w:val="0"/>
              <w:suppressLineNumbers w:val="0"/>
              <w:spacing w:before="0" w:beforeAutospacing="0" w:after="0" w:afterAutospacing="0"/>
              <w:ind w:left="0" w:right="0"/>
              <w:jc w:val="center"/>
              <w:rPr>
                <w:rFonts w:hint="eastAsia" w:ascii="宋体" w:hAnsi="宋体" w:eastAsia="宋体"/>
                <w:color w:val="000000"/>
                <w:szCs w:val="21"/>
              </w:rPr>
            </w:pPr>
            <w:r>
              <w:rPr>
                <w:rFonts w:hint="eastAsia" w:ascii="宋体" w:hAnsi="宋体"/>
                <w:color w:val="000000"/>
                <w:szCs w:val="21"/>
              </w:rPr>
              <w:t>偏强震荡</w:t>
            </w:r>
          </w:p>
        </w:tc>
        <w:tc>
          <w:tcPr>
            <w:tcW w:w="6804" w:type="dxa"/>
            <w:vMerge w:val="restart"/>
            <w:shd w:val="clear" w:color="auto" w:fill="auto"/>
          </w:tcPr>
          <w:p w14:paraId="4855A296">
            <w:pPr>
              <w:keepNext w:val="0"/>
              <w:keepLines w:val="0"/>
              <w:widowControl w:val="0"/>
              <w:suppressLineNumbers w:val="0"/>
              <w:spacing w:before="0" w:beforeAutospacing="0" w:after="0" w:afterAutospacing="0"/>
              <w:ind w:left="0" w:right="0"/>
              <w:jc w:val="both"/>
              <w:rPr>
                <w:rFonts w:hint="eastAsia" w:ascii="宋体" w:hAnsi="宋体" w:eastAsia="宋体"/>
                <w:bCs/>
                <w:szCs w:val="21"/>
                <w:lang w:eastAsia="zh"/>
              </w:rPr>
            </w:pPr>
            <w:r>
              <w:rPr>
                <w:rFonts w:hint="eastAsia" w:ascii="宋体" w:hAnsi="宋体" w:eastAsia="宋体" w:cs="宋体"/>
                <w:b/>
                <w:bCs/>
                <w:kern w:val="2"/>
                <w:sz w:val="21"/>
                <w:szCs w:val="21"/>
                <w:lang w:val="en-US" w:eastAsia="zh-CN" w:bidi="ar"/>
              </w:rPr>
              <w:t>黄金</w:t>
            </w:r>
            <w:r>
              <w:rPr>
                <w:rFonts w:hint="eastAsia" w:ascii="宋体" w:hAnsi="宋体" w:eastAsia="宋体" w:cs="宋体"/>
                <w:kern w:val="2"/>
                <w:sz w:val="21"/>
                <w:szCs w:val="21"/>
                <w:lang w:val="en-US" w:eastAsia="zh-CN" w:bidi="ar"/>
              </w:rPr>
              <w:t>：在地缘扰动和高利率环境下，黄金的定价机制正在由传统的以实际利率为核心向以央行购金为核心转变。全球央行购金的行为是关键，背后是“去中心化”、避险需求的集中体现。货币属性方面，债务问题导致美元的货币信用出现裂痕，在去美元化进程中黄金的去法币化属性凸显。金融属性方面，在全球高利率环境下，黄金作为零息债对债券的替代效应减弱，对美债实际利率的敏感度下降。避险属性方面，</w:t>
            </w:r>
            <w:r>
              <w:rPr>
                <w:rFonts w:hint="eastAsia" w:ascii="宋体" w:hAnsi="宋体" w:cs="宋体"/>
                <w:kern w:val="2"/>
                <w:sz w:val="21"/>
                <w:szCs w:val="21"/>
                <w:lang w:val="en-US" w:eastAsia="zh" w:bidi="ar"/>
                <w:woUserID w:val="5"/>
              </w:rPr>
              <w:t>虽然</w:t>
            </w:r>
            <w:r>
              <w:rPr>
                <w:rFonts w:hint="eastAsia" w:ascii="宋体" w:hAnsi="宋体" w:eastAsia="宋体" w:cs="宋体"/>
                <w:kern w:val="2"/>
                <w:sz w:val="21"/>
                <w:szCs w:val="21"/>
                <w:lang w:val="en-US" w:eastAsia="zh-CN" w:bidi="ar"/>
              </w:rPr>
              <w:t>俄乌冲突</w:t>
            </w:r>
            <w:r>
              <w:rPr>
                <w:rFonts w:hint="eastAsia" w:ascii="宋体" w:hAnsi="宋体" w:cs="宋体"/>
                <w:kern w:val="2"/>
                <w:sz w:val="21"/>
                <w:szCs w:val="21"/>
                <w:lang w:val="en-US" w:eastAsia="zh" w:bidi="ar"/>
                <w:woUserID w:val="5"/>
              </w:rPr>
              <w:t>有望得到解决，地缘政治风险边际减弱，但</w:t>
            </w:r>
            <w:r>
              <w:rPr>
                <w:rFonts w:hint="eastAsia" w:ascii="宋体" w:hAnsi="宋体" w:eastAsia="宋体" w:cs="宋体"/>
                <w:kern w:val="2"/>
                <w:sz w:val="21"/>
                <w:szCs w:val="21"/>
                <w:lang w:val="en-US" w:eastAsia="zh-CN" w:bidi="ar"/>
              </w:rPr>
              <w:t>特朗普的关税</w:t>
            </w:r>
            <w:r>
              <w:rPr>
                <w:rFonts w:hint="eastAsia" w:ascii="宋体" w:hAnsi="宋体" w:cs="宋体"/>
                <w:kern w:val="2"/>
                <w:sz w:val="21"/>
                <w:szCs w:val="21"/>
                <w:lang w:val="en-US" w:eastAsia="zh" w:bidi="ar"/>
                <w:woUserID w:val="5"/>
              </w:rPr>
              <w:t>政策加剧全球贸易紧张</w:t>
            </w:r>
            <w:r>
              <w:rPr>
                <w:rFonts w:hint="eastAsia" w:ascii="宋体" w:hAnsi="宋体" w:eastAsia="宋体" w:cs="宋体"/>
                <w:kern w:val="2"/>
                <w:sz w:val="21"/>
                <w:szCs w:val="21"/>
                <w:lang w:val="en-US" w:eastAsia="zh-CN" w:bidi="ar"/>
              </w:rPr>
              <w:t>，市场避险需求</w:t>
            </w:r>
            <w:r>
              <w:rPr>
                <w:rFonts w:hint="eastAsia" w:ascii="宋体" w:hAnsi="宋体" w:cs="宋体"/>
                <w:kern w:val="2"/>
                <w:sz w:val="21"/>
                <w:szCs w:val="21"/>
                <w:lang w:val="en-US" w:eastAsia="zh" w:bidi="ar"/>
                <w:woUserID w:val="5"/>
              </w:rPr>
              <w:t>不减</w:t>
            </w:r>
            <w:r>
              <w:rPr>
                <w:rFonts w:hint="eastAsia" w:ascii="宋体" w:hAnsi="宋体" w:eastAsia="宋体" w:cs="宋体"/>
                <w:kern w:val="2"/>
                <w:sz w:val="21"/>
                <w:szCs w:val="21"/>
                <w:lang w:val="en-US" w:eastAsia="zh-CN" w:bidi="ar"/>
              </w:rPr>
              <w:t>，成为阶段性推升黄金价格的重要因素。商品属性方面，中国实物金需求明显上升，人民币金溢价也提升了其投资吸引力。目前来看，推升本轮金价上涨的逻辑没有完全逆转，美联储1月如期未降息，但25年特朗普上台后可能采取的一系列刺激性政策有引起再通胀的嫌疑，25年的利率政策会更加谨慎。美国最新非农</w:t>
            </w:r>
            <w:r>
              <w:rPr>
                <w:rFonts w:hint="eastAsia" w:ascii="宋体" w:hAnsi="宋体" w:cs="宋体"/>
                <w:kern w:val="2"/>
                <w:sz w:val="21"/>
                <w:szCs w:val="21"/>
                <w:lang w:val="en-US" w:eastAsia="zh" w:bidi="ar"/>
                <w:woUserID w:val="5"/>
              </w:rPr>
              <w:t>数据显示劳动力市场降温</w:t>
            </w:r>
            <w:r>
              <w:rPr>
                <w:rFonts w:hint="eastAsia" w:ascii="宋体" w:hAnsi="宋体" w:eastAsia="宋体" w:cs="宋体"/>
                <w:kern w:val="2"/>
                <w:sz w:val="21"/>
                <w:szCs w:val="21"/>
                <w:lang w:val="en-US" w:eastAsia="zh-CN" w:bidi="ar"/>
              </w:rPr>
              <w:t>，非农就业人口</w:t>
            </w:r>
            <w:r>
              <w:rPr>
                <w:rFonts w:hint="eastAsia" w:ascii="宋体" w:hAnsi="宋体" w:cs="宋体"/>
                <w:kern w:val="2"/>
                <w:sz w:val="21"/>
                <w:szCs w:val="21"/>
                <w:lang w:val="en-US" w:eastAsia="zh" w:bidi="ar"/>
                <w:woUserID w:val="5"/>
              </w:rPr>
              <w:t>不及市场预期</w:t>
            </w:r>
            <w:r>
              <w:rPr>
                <w:rFonts w:hint="eastAsia" w:ascii="宋体" w:hAnsi="宋体" w:eastAsia="宋体" w:cs="宋体"/>
                <w:kern w:val="2"/>
                <w:sz w:val="21"/>
                <w:szCs w:val="21"/>
                <w:lang w:val="en-US" w:eastAsia="zh-CN" w:bidi="ar"/>
              </w:rPr>
              <w:t>，失业率</w:t>
            </w:r>
            <w:r>
              <w:rPr>
                <w:rFonts w:hint="eastAsia" w:ascii="宋体" w:hAnsi="宋体" w:cs="宋体"/>
                <w:kern w:val="2"/>
                <w:sz w:val="21"/>
                <w:szCs w:val="21"/>
                <w:lang w:val="en-US" w:eastAsia="zh" w:bidi="ar"/>
                <w:woUserID w:val="5"/>
              </w:rPr>
              <w:t>回升至4.1%</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 w:bidi="ar"/>
                <w:woUserID w:val="5"/>
              </w:rPr>
              <w:t>预示美国经济可能进入衰退；最新CPI数据显示通胀数据不及市场预期，CPI同比上涨2.8%，核心CPI同比上涨3.1%，是2021年4月以来的最小涨幅</w:t>
            </w:r>
            <w:r>
              <w:rPr>
                <w:rFonts w:hint="eastAsia" w:ascii="宋体" w:hAnsi="宋体" w:eastAsia="宋体" w:cs="宋体"/>
                <w:kern w:val="2"/>
                <w:sz w:val="21"/>
                <w:szCs w:val="21"/>
                <w:lang w:val="en-US" w:eastAsia="zh-CN" w:bidi="ar"/>
              </w:rPr>
              <w:t>。短期来看，</w:t>
            </w:r>
            <w:r>
              <w:rPr>
                <w:rFonts w:hint="eastAsia" w:ascii="宋体" w:hAnsi="宋体" w:cs="宋体"/>
                <w:kern w:val="2"/>
                <w:sz w:val="21"/>
                <w:szCs w:val="21"/>
                <w:lang w:val="en-US" w:eastAsia="zh" w:bidi="ar"/>
                <w:woUserID w:val="5"/>
              </w:rPr>
              <w:t>美国最新CPI数据显示通胀增速缓慢，美联储降息预期增强。特朗普的关税政策加剧全球贸易紧张局势，恐慌情绪支撑贵金属的配置需求。</w:t>
            </w:r>
          </w:p>
        </w:tc>
      </w:tr>
      <w:tr w14:paraId="7A655909">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2140" w:hRule="atLeast"/>
          <w:jc w:val="center"/>
        </w:trPr>
        <w:tc>
          <w:tcPr>
            <w:tcW w:w="631" w:type="dxa"/>
            <w:vMerge w:val="continue"/>
            <w:vAlign w:val="center"/>
          </w:tcPr>
          <w:p w14:paraId="593E3E92">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0E6CEFF9">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白银</w:t>
            </w:r>
          </w:p>
        </w:tc>
        <w:tc>
          <w:tcPr>
            <w:tcW w:w="1254" w:type="dxa"/>
            <w:vAlign w:val="center"/>
          </w:tcPr>
          <w:p w14:paraId="430DBF27">
            <w:pPr>
              <w:keepNext w:val="0"/>
              <w:keepLines w:val="0"/>
              <w:suppressLineNumbers w:val="0"/>
              <w:spacing w:before="0" w:beforeAutospacing="0" w:after="0" w:afterAutospacing="0"/>
              <w:ind w:left="0" w:right="0"/>
              <w:jc w:val="center"/>
              <w:rPr>
                <w:rFonts w:hint="eastAsia" w:ascii="宋体" w:hAnsi="宋体" w:eastAsia="宋体" w:cs="宋体"/>
                <w:color w:val="000000"/>
                <w:szCs w:val="21"/>
              </w:rPr>
            </w:pPr>
            <w:r>
              <w:rPr>
                <w:rFonts w:hint="eastAsia" w:ascii="宋体" w:hAnsi="宋体" w:cs="宋体"/>
                <w:color w:val="000000"/>
                <w:szCs w:val="21"/>
              </w:rPr>
              <w:t>偏强震荡</w:t>
            </w:r>
          </w:p>
        </w:tc>
        <w:tc>
          <w:tcPr>
            <w:tcW w:w="6804" w:type="dxa"/>
            <w:vMerge w:val="continue"/>
            <w:shd w:val="clear" w:color="auto" w:fill="auto"/>
          </w:tcPr>
          <w:p w14:paraId="167465FD">
            <w:pPr>
              <w:keepNext w:val="0"/>
              <w:keepLines w:val="0"/>
              <w:suppressLineNumbers w:val="0"/>
              <w:spacing w:before="0" w:beforeAutospacing="0" w:after="0" w:afterAutospacing="0"/>
              <w:ind w:left="0" w:right="0"/>
              <w:rPr>
                <w:rFonts w:hint="default" w:ascii="宋体" w:hAnsi="宋体" w:eastAsia="宋体"/>
                <w:szCs w:val="21"/>
              </w:rPr>
            </w:pPr>
          </w:p>
        </w:tc>
      </w:tr>
      <w:tr w14:paraId="30CB9924">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67" w:hRule="atLeast"/>
          <w:jc w:val="center"/>
        </w:trPr>
        <w:tc>
          <w:tcPr>
            <w:tcW w:w="631" w:type="dxa"/>
            <w:vMerge w:val="restart"/>
            <w:vAlign w:val="center"/>
          </w:tcPr>
          <w:p w14:paraId="46E781AF">
            <w:pPr>
              <w:keepNext w:val="0"/>
              <w:keepLines w:val="0"/>
              <w:suppressLineNumbers w:val="0"/>
              <w:spacing w:before="0" w:beforeAutospacing="0" w:after="0" w:afterAutospacing="0"/>
              <w:ind w:left="0" w:right="0"/>
              <w:jc w:val="center"/>
              <w:rPr>
                <w:rFonts w:hint="default" w:ascii="宋体" w:hAnsi="宋体"/>
                <w:b/>
                <w:sz w:val="24"/>
                <w:szCs w:val="21"/>
              </w:rPr>
            </w:pPr>
          </w:p>
          <w:p w14:paraId="439CB0FF">
            <w:pPr>
              <w:keepNext w:val="0"/>
              <w:keepLines w:val="0"/>
              <w:suppressLineNumbers w:val="0"/>
              <w:spacing w:before="0" w:beforeAutospacing="0" w:after="0" w:afterAutospacing="0"/>
              <w:ind w:left="0" w:right="0"/>
              <w:jc w:val="center"/>
              <w:rPr>
                <w:rFonts w:hint="default" w:ascii="宋体" w:hAnsi="宋体"/>
                <w:b/>
                <w:sz w:val="24"/>
                <w:szCs w:val="21"/>
              </w:rPr>
            </w:pPr>
          </w:p>
          <w:p w14:paraId="0E93B780">
            <w:pPr>
              <w:keepNext w:val="0"/>
              <w:keepLines w:val="0"/>
              <w:suppressLineNumbers w:val="0"/>
              <w:spacing w:before="0" w:beforeAutospacing="0" w:after="0" w:afterAutospacing="0"/>
              <w:ind w:left="0" w:right="0"/>
              <w:jc w:val="center"/>
              <w:rPr>
                <w:rFonts w:hint="default" w:ascii="宋体" w:hAnsi="宋体"/>
                <w:b/>
                <w:sz w:val="24"/>
                <w:szCs w:val="21"/>
              </w:rPr>
            </w:pPr>
          </w:p>
          <w:p w14:paraId="4A89E984">
            <w:pPr>
              <w:keepNext w:val="0"/>
              <w:keepLines w:val="0"/>
              <w:suppressLineNumbers w:val="0"/>
              <w:spacing w:before="0" w:beforeAutospacing="0" w:after="0" w:afterAutospacing="0"/>
              <w:ind w:left="0" w:right="0"/>
              <w:jc w:val="center"/>
              <w:rPr>
                <w:rFonts w:hint="default" w:ascii="宋体" w:hAnsi="宋体"/>
                <w:b/>
                <w:sz w:val="24"/>
                <w:szCs w:val="21"/>
              </w:rPr>
            </w:pPr>
          </w:p>
          <w:p w14:paraId="2D0DB29C">
            <w:pPr>
              <w:keepNext w:val="0"/>
              <w:keepLines w:val="0"/>
              <w:suppressLineNumbers w:val="0"/>
              <w:spacing w:before="0" w:beforeAutospacing="0" w:after="0" w:afterAutospacing="0"/>
              <w:ind w:left="0" w:right="0"/>
              <w:jc w:val="center"/>
              <w:rPr>
                <w:rFonts w:hint="eastAsia" w:ascii="宋体" w:hAnsi="宋体"/>
                <w:b/>
                <w:sz w:val="24"/>
                <w:szCs w:val="21"/>
              </w:rPr>
            </w:pPr>
          </w:p>
          <w:p w14:paraId="2C7516E9">
            <w:pPr>
              <w:keepNext w:val="0"/>
              <w:keepLines w:val="0"/>
              <w:suppressLineNumbers w:val="0"/>
              <w:spacing w:before="0" w:beforeAutospacing="0" w:after="0" w:afterAutospacing="0"/>
              <w:ind w:left="0" w:right="0"/>
              <w:jc w:val="center"/>
              <w:rPr>
                <w:rFonts w:hint="eastAsia" w:ascii="宋体" w:hAnsi="宋体"/>
                <w:b/>
                <w:sz w:val="24"/>
                <w:szCs w:val="21"/>
              </w:rPr>
            </w:pPr>
          </w:p>
          <w:p w14:paraId="306AEB77">
            <w:pPr>
              <w:keepNext w:val="0"/>
              <w:keepLines w:val="0"/>
              <w:suppressLineNumbers w:val="0"/>
              <w:spacing w:before="0" w:beforeAutospacing="0" w:after="0" w:afterAutospacing="0"/>
              <w:ind w:left="0" w:right="0"/>
              <w:jc w:val="center"/>
              <w:rPr>
                <w:rFonts w:hint="default" w:ascii="宋体" w:hAnsi="宋体"/>
                <w:b/>
                <w:sz w:val="24"/>
                <w:szCs w:val="21"/>
              </w:rPr>
            </w:pPr>
            <w:r>
              <w:rPr>
                <w:rFonts w:hint="eastAsia" w:ascii="宋体" w:hAnsi="宋体"/>
                <w:b/>
                <w:sz w:val="24"/>
                <w:szCs w:val="21"/>
              </w:rPr>
              <w:t>有色金属</w:t>
            </w:r>
          </w:p>
        </w:tc>
        <w:tc>
          <w:tcPr>
            <w:tcW w:w="1397" w:type="dxa"/>
            <w:vAlign w:val="center"/>
          </w:tcPr>
          <w:p w14:paraId="10C11360">
            <w:pPr>
              <w:keepNext w:val="0"/>
              <w:keepLines w:val="0"/>
              <w:suppressLineNumbers w:val="0"/>
              <w:spacing w:before="0" w:beforeAutospacing="0" w:after="0" w:afterAutospacing="0"/>
              <w:ind w:left="0" w:right="0"/>
              <w:jc w:val="center"/>
              <w:rPr>
                <w:rFonts w:hint="default" w:ascii="宋体" w:cs="宋体"/>
                <w:szCs w:val="21"/>
              </w:rPr>
            </w:pPr>
            <w:r>
              <w:rPr>
                <w:rFonts w:hint="eastAsia" w:ascii="宋体" w:cs="宋体"/>
                <w:szCs w:val="21"/>
              </w:rPr>
              <w:t>铜</w:t>
            </w:r>
          </w:p>
        </w:tc>
        <w:tc>
          <w:tcPr>
            <w:tcW w:w="1254" w:type="dxa"/>
            <w:vAlign w:val="center"/>
          </w:tcPr>
          <w:p w14:paraId="4E37B493">
            <w:pPr>
              <w:keepNext w:val="0"/>
              <w:keepLines w:val="0"/>
              <w:suppressLineNumbers w:val="0"/>
              <w:spacing w:before="0" w:beforeAutospacing="0" w:after="0" w:afterAutospacing="0"/>
              <w:ind w:left="0" w:right="0"/>
              <w:jc w:val="center"/>
              <w:rPr>
                <w:rFonts w:hint="eastAsia" w:eastAsia="宋体"/>
                <w:szCs w:val="20"/>
              </w:rPr>
            </w:pPr>
            <w:r>
              <w:rPr>
                <w:rFonts w:hint="eastAsia"/>
                <w:szCs w:val="20"/>
              </w:rPr>
              <w:t>先抑后扬</w:t>
            </w:r>
          </w:p>
        </w:tc>
        <w:tc>
          <w:tcPr>
            <w:tcW w:w="6804" w:type="dxa"/>
            <w:vMerge w:val="restart"/>
            <w:shd w:val="clear" w:color="auto" w:fill="auto"/>
          </w:tcPr>
          <w:p w14:paraId="2BBF4260">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kern w:val="2"/>
                <w:sz w:val="21"/>
                <w:szCs w:val="21"/>
              </w:rPr>
            </w:pPr>
            <w:r>
              <w:rPr>
                <w:rFonts w:hint="eastAsia" w:ascii="宋体" w:hAnsi="宋体" w:eastAsia="宋体" w:cs="宋体"/>
                <w:b/>
                <w:bCs/>
                <w:kern w:val="2"/>
                <w:sz w:val="21"/>
                <w:szCs w:val="21"/>
                <w:lang w:val="en-US" w:eastAsia="zh-CN" w:bidi="ar"/>
              </w:rPr>
              <w:t>铜：</w:t>
            </w:r>
            <w:r>
              <w:rPr>
                <w:rFonts w:hint="eastAsia" w:ascii="宋体" w:hAnsi="宋体" w:eastAsia="宋体" w:cs="宋体"/>
                <w:bCs/>
                <w:kern w:val="2"/>
                <w:sz w:val="21"/>
                <w:szCs w:val="21"/>
                <w:lang w:val="en-US" w:eastAsia="zh-CN" w:bidi="ar"/>
              </w:rPr>
              <w:t>宏观面</w:t>
            </w:r>
            <w:r>
              <w:rPr>
                <w:rFonts w:hint="eastAsia" w:ascii="宋体" w:hAnsi="宋体" w:eastAsia="宋体" w:cs="宋体"/>
                <w:color w:val="000000"/>
                <w:kern w:val="2"/>
                <w:sz w:val="21"/>
                <w:szCs w:val="21"/>
                <w:lang w:val="en-US" w:eastAsia="zh-CN" w:bidi="ar"/>
              </w:rPr>
              <w:t>：政策定调积极宽松，坚定政策信心，落地要等，重视运行节奏。产业面，2025年铜矿长单基准加工费回落至21.25美元/吨，较2024年下降73.4%，显示铜矿延续供应偏紧趋势，矿产端供应约束依旧支撑铜价。下游采购加工端或有恢复。短期铜价仍受外部环境影响力(加征关税导致负面情绪波动），先抑后扬。长期能源转型与科技变革背景下，叠加美元宽松周期开启，以及贸易保护环境下全球通胀水平抬升，铜价底部区间稳步抬升。</w:t>
            </w:r>
          </w:p>
          <w:p w14:paraId="6192DF6B">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000000"/>
                <w:kern w:val="2"/>
                <w:sz w:val="21"/>
                <w:szCs w:val="21"/>
              </w:rPr>
            </w:pPr>
            <w:r>
              <w:rPr>
                <w:rFonts w:hint="eastAsia" w:ascii="宋体" w:hAnsi="宋体" w:eastAsia="宋体" w:cs="宋体"/>
                <w:b/>
                <w:bCs/>
                <w:kern w:val="2"/>
                <w:sz w:val="21"/>
                <w:szCs w:val="21"/>
                <w:lang w:val="en-US" w:eastAsia="zh-CN" w:bidi="ar"/>
              </w:rPr>
              <w:t>铝：</w:t>
            </w:r>
            <w:r>
              <w:rPr>
                <w:rFonts w:hint="eastAsia" w:ascii="宋体" w:hAnsi="宋体" w:eastAsia="宋体" w:cs="宋体"/>
                <w:bCs/>
                <w:kern w:val="2"/>
                <w:sz w:val="21"/>
                <w:szCs w:val="21"/>
                <w:lang w:val="en-US" w:eastAsia="zh-CN" w:bidi="ar"/>
              </w:rPr>
              <w:t>铝土矿产量受限，氧化铝供应阶段收紧，国内电解铝供应增加幅度有限。供应收缩，及成本抬升，铝价下方支撑依然较强。近期下游采购加工或有恢复</w:t>
            </w:r>
            <w:r>
              <w:rPr>
                <w:rFonts w:hint="eastAsia" w:ascii="宋体" w:hAnsi="宋体" w:eastAsia="宋体" w:cs="宋体"/>
                <w:color w:val="000000"/>
                <w:kern w:val="2"/>
                <w:sz w:val="21"/>
                <w:szCs w:val="21"/>
                <w:lang w:val="en-US" w:eastAsia="zh-CN" w:bidi="ar"/>
              </w:rPr>
              <w:t>。短期受加征关税事件影响，铝价或先抑后扬。长期铝价似乎已摆脱地产疲软束缚，走出新兴行业驱动的逻辑。长期能源转型与碳中和背景下，铝价底部区间稳步抬升。</w:t>
            </w:r>
          </w:p>
          <w:p w14:paraId="1C96E9D5">
            <w:pPr>
              <w:keepNext w:val="0"/>
              <w:keepLines w:val="0"/>
              <w:widowControl w:val="0"/>
              <w:suppressLineNumbers w:val="0"/>
              <w:spacing w:before="0" w:beforeAutospacing="0" w:after="0" w:afterAutospacing="0"/>
              <w:ind w:left="0" w:right="0"/>
              <w:jc w:val="both"/>
              <w:rPr>
                <w:rFonts w:hint="eastAsia" w:ascii="宋体" w:hAnsi="Times New Roman" w:eastAsia="宋体" w:cs="Times New Roman"/>
                <w:color w:val="000000"/>
                <w:kern w:val="2"/>
                <w:sz w:val="21"/>
                <w:szCs w:val="21"/>
              </w:rPr>
            </w:pPr>
            <w:r>
              <w:rPr>
                <w:rFonts w:hint="eastAsia" w:ascii="宋体" w:hAnsi="宋体" w:eastAsia="宋体" w:cs="宋体"/>
                <w:b/>
                <w:bCs w:val="0"/>
                <w:color w:val="000000"/>
                <w:kern w:val="2"/>
                <w:sz w:val="21"/>
                <w:szCs w:val="21"/>
                <w:lang w:val="en-US" w:eastAsia="zh-CN" w:bidi="ar"/>
              </w:rPr>
              <w:t>碳酸锂：</w:t>
            </w:r>
            <w:r>
              <w:rPr>
                <w:rFonts w:hint="eastAsia" w:ascii="宋体" w:hAnsi="宋体" w:eastAsia="宋体" w:cs="宋体"/>
                <w:color w:val="000000"/>
                <w:kern w:val="2"/>
                <w:sz w:val="21"/>
                <w:szCs w:val="21"/>
                <w:lang w:val="en-US" w:eastAsia="zh-CN" w:bidi="ar"/>
              </w:rPr>
              <w:t>中长期碳酸锂供需格局宽松，未来5年碳酸锂产能持续扩张，但近期因国内政策严控锂新增产能扩张刺激锂价反弹，中期锂价仍处于磨底状态。终端锂电需求高速增长转为平稳增速，供给增速高于需求增速。目前国内外购锂辉石和锂云母的碳酸锂企业生产成本10-15万元/吨，国内盐湖提锂企业成本5-8万元/吨，整体成本偏低，叠加供大于求，预计进入下降趋势末端，磨底时间较长。</w:t>
            </w:r>
          </w:p>
          <w:p w14:paraId="5A0BB7AB">
            <w:pPr>
              <w:keepNext w:val="0"/>
              <w:keepLines w:val="0"/>
              <w:widowControl w:val="0"/>
              <w:suppressLineNumbers w:val="0"/>
              <w:spacing w:before="0" w:beforeAutospacing="0" w:after="0" w:afterAutospacing="0"/>
              <w:ind w:left="0" w:right="0"/>
              <w:jc w:val="both"/>
              <w:rPr>
                <w:rFonts w:hint="default" w:ascii="宋体"/>
                <w:b/>
                <w:color w:val="000000"/>
                <w:szCs w:val="21"/>
              </w:rPr>
            </w:pPr>
            <w:r>
              <w:rPr>
                <w:rFonts w:hint="eastAsia" w:ascii="宋体" w:hAnsi="宋体" w:eastAsia="宋体" w:cs="宋体"/>
                <w:b/>
                <w:bCs w:val="0"/>
                <w:color w:val="000000"/>
                <w:kern w:val="2"/>
                <w:sz w:val="21"/>
                <w:szCs w:val="21"/>
                <w:lang w:val="en-US" w:eastAsia="zh-CN" w:bidi="ar"/>
              </w:rPr>
              <w:t>镍：</w:t>
            </w:r>
            <w:r>
              <w:rPr>
                <w:rFonts w:hint="eastAsia" w:ascii="宋体" w:hAnsi="宋体" w:eastAsia="宋体" w:cs="宋体"/>
                <w:color w:val="000000"/>
                <w:kern w:val="2"/>
                <w:sz w:val="21"/>
                <w:szCs w:val="21"/>
                <w:lang w:val="en-US" w:eastAsia="zh-CN" w:bidi="ar"/>
              </w:rPr>
              <w:t>印尼镍铁流入市场，镍铁供应增加。二级镍产能释放将带动转化为原生镍产量过剩。下游不锈钢需求受益于部分基建项目托底影响，但同时也受地产链条疲软承压。合金方面，军工订单纯镍刚需仍存，民用订单纯镍需求仍有变数。中期需关注产能释放及外部环境不确定性对镍价形成承压。</w:t>
            </w:r>
          </w:p>
        </w:tc>
      </w:tr>
      <w:tr w14:paraId="41CB30A3">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51" w:hRule="atLeast"/>
          <w:jc w:val="center"/>
        </w:trPr>
        <w:tc>
          <w:tcPr>
            <w:tcW w:w="631" w:type="dxa"/>
            <w:vMerge w:val="continue"/>
            <w:vAlign w:val="center"/>
          </w:tcPr>
          <w:p w14:paraId="44660F0B">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44A9799D">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cs="宋体"/>
                <w:szCs w:val="21"/>
              </w:rPr>
              <w:t>铝</w:t>
            </w:r>
          </w:p>
        </w:tc>
        <w:tc>
          <w:tcPr>
            <w:tcW w:w="1254" w:type="dxa"/>
            <w:vAlign w:val="center"/>
          </w:tcPr>
          <w:p w14:paraId="08032C4F">
            <w:pPr>
              <w:keepNext w:val="0"/>
              <w:keepLines w:val="0"/>
              <w:suppressLineNumbers w:val="0"/>
              <w:spacing w:before="0" w:beforeAutospacing="0" w:after="0" w:afterAutospacing="0"/>
              <w:ind w:left="0" w:right="0"/>
              <w:rPr>
                <w:rFonts w:hint="eastAsia" w:eastAsia="宋体"/>
                <w:szCs w:val="20"/>
              </w:rPr>
            </w:pPr>
            <w:r>
              <w:rPr>
                <w:rFonts w:hint="eastAsia"/>
                <w:szCs w:val="20"/>
              </w:rPr>
              <w:t>震荡整理</w:t>
            </w:r>
          </w:p>
        </w:tc>
        <w:tc>
          <w:tcPr>
            <w:tcW w:w="6804" w:type="dxa"/>
            <w:vMerge w:val="continue"/>
            <w:shd w:val="clear" w:color="auto" w:fill="auto"/>
          </w:tcPr>
          <w:p w14:paraId="3044B3F5">
            <w:pPr>
              <w:keepNext w:val="0"/>
              <w:keepLines w:val="0"/>
              <w:suppressLineNumbers w:val="0"/>
              <w:spacing w:before="0" w:beforeAutospacing="0" w:after="0" w:afterAutospacing="0"/>
              <w:ind w:left="0" w:right="0"/>
              <w:rPr>
                <w:rFonts w:hint="default" w:ascii="宋体" w:hAnsi="宋体"/>
                <w:sz w:val="24"/>
                <w:szCs w:val="20"/>
              </w:rPr>
            </w:pPr>
          </w:p>
        </w:tc>
      </w:tr>
      <w:tr w14:paraId="3BF63EA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69" w:hRule="atLeast"/>
          <w:jc w:val="center"/>
        </w:trPr>
        <w:tc>
          <w:tcPr>
            <w:tcW w:w="631" w:type="dxa"/>
            <w:vMerge w:val="continue"/>
            <w:vAlign w:val="center"/>
          </w:tcPr>
          <w:p w14:paraId="3D3D7EB9">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6CCDB7DA">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cs="宋体"/>
                <w:szCs w:val="21"/>
              </w:rPr>
              <w:t>锌</w:t>
            </w:r>
          </w:p>
        </w:tc>
        <w:tc>
          <w:tcPr>
            <w:tcW w:w="1254" w:type="dxa"/>
            <w:vAlign w:val="center"/>
          </w:tcPr>
          <w:p w14:paraId="2D98172D">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rPr>
            </w:pPr>
          </w:p>
          <w:p w14:paraId="53CB5D93">
            <w:pPr>
              <w:keepNext w:val="0"/>
              <w:keepLines w:val="0"/>
              <w:widowControl w:val="0"/>
              <w:suppressLineNumbers w:val="0"/>
              <w:spacing w:before="0" w:beforeAutospacing="0" w:after="0" w:afterAutospacing="0"/>
              <w:ind w:left="0" w:right="0"/>
              <w:jc w:val="both"/>
              <w:rPr>
                <w:rFonts w:hint="default"/>
                <w:szCs w:val="20"/>
              </w:rPr>
            </w:pPr>
            <w:r>
              <w:rPr>
                <w:rFonts w:hint="eastAsia" w:ascii="宋体" w:hAnsi="宋体" w:eastAsia="宋体" w:cs="宋体"/>
                <w:kern w:val="2"/>
                <w:sz w:val="21"/>
                <w:szCs w:val="21"/>
                <w:lang w:val="en-US" w:eastAsia="zh-CN" w:bidi="ar"/>
              </w:rPr>
              <w:t>震荡反弹</w:t>
            </w:r>
          </w:p>
          <w:p w14:paraId="230230A2">
            <w:pPr>
              <w:keepNext w:val="0"/>
              <w:keepLines w:val="0"/>
              <w:suppressLineNumbers w:val="0"/>
              <w:spacing w:before="0" w:beforeAutospacing="0" w:after="0" w:afterAutospacing="0"/>
              <w:ind w:left="0" w:right="0"/>
              <w:rPr>
                <w:rFonts w:hint="eastAsia" w:eastAsia="宋体"/>
                <w:szCs w:val="20"/>
              </w:rPr>
            </w:pPr>
          </w:p>
        </w:tc>
        <w:tc>
          <w:tcPr>
            <w:tcW w:w="6804" w:type="dxa"/>
            <w:vMerge w:val="continue"/>
            <w:shd w:val="clear" w:color="auto" w:fill="auto"/>
          </w:tcPr>
          <w:p w14:paraId="2388D14F">
            <w:pPr>
              <w:keepNext w:val="0"/>
              <w:keepLines w:val="0"/>
              <w:suppressLineNumbers w:val="0"/>
              <w:spacing w:before="0" w:beforeAutospacing="0" w:after="0" w:afterAutospacing="0"/>
              <w:ind w:left="0" w:right="0"/>
              <w:rPr>
                <w:rFonts w:hint="default" w:ascii="宋体" w:hAnsi="宋体"/>
                <w:sz w:val="24"/>
                <w:szCs w:val="20"/>
              </w:rPr>
            </w:pPr>
          </w:p>
        </w:tc>
      </w:tr>
      <w:tr w14:paraId="55F3BEA8">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70" w:hRule="atLeast"/>
          <w:jc w:val="center"/>
        </w:trPr>
        <w:tc>
          <w:tcPr>
            <w:tcW w:w="631" w:type="dxa"/>
            <w:vMerge w:val="continue"/>
            <w:vAlign w:val="center"/>
          </w:tcPr>
          <w:p w14:paraId="717AEE69">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7AF55B00">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cs="宋体"/>
                <w:szCs w:val="21"/>
              </w:rPr>
              <w:t>镍</w:t>
            </w:r>
          </w:p>
        </w:tc>
        <w:tc>
          <w:tcPr>
            <w:tcW w:w="1254" w:type="dxa"/>
            <w:vAlign w:val="center"/>
          </w:tcPr>
          <w:p w14:paraId="74459F15">
            <w:pPr>
              <w:keepNext w:val="0"/>
              <w:keepLines w:val="0"/>
              <w:suppressLineNumbers w:val="0"/>
              <w:spacing w:before="0" w:beforeAutospacing="0" w:after="0" w:afterAutospacing="0"/>
              <w:ind w:left="0" w:right="0"/>
              <w:jc w:val="center"/>
              <w:rPr>
                <w:rFonts w:hint="default"/>
                <w:szCs w:val="20"/>
              </w:rPr>
            </w:pPr>
            <w:r>
              <w:rPr>
                <w:rFonts w:hint="eastAsia"/>
                <w:szCs w:val="20"/>
              </w:rPr>
              <w:t>震荡筑底</w:t>
            </w:r>
          </w:p>
        </w:tc>
        <w:tc>
          <w:tcPr>
            <w:tcW w:w="6804" w:type="dxa"/>
            <w:vMerge w:val="continue"/>
            <w:shd w:val="clear" w:color="auto" w:fill="auto"/>
          </w:tcPr>
          <w:p w14:paraId="6F78F06E">
            <w:pPr>
              <w:keepNext w:val="0"/>
              <w:keepLines w:val="0"/>
              <w:suppressLineNumbers w:val="0"/>
              <w:spacing w:before="0" w:beforeAutospacing="0" w:after="0" w:afterAutospacing="0"/>
              <w:ind w:left="0" w:right="0"/>
              <w:rPr>
                <w:rFonts w:hint="default" w:ascii="宋体" w:hAnsi="宋体"/>
                <w:sz w:val="24"/>
                <w:szCs w:val="20"/>
              </w:rPr>
            </w:pPr>
          </w:p>
        </w:tc>
      </w:tr>
      <w:tr w14:paraId="6C233948">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26" w:hRule="atLeast"/>
          <w:jc w:val="center"/>
        </w:trPr>
        <w:tc>
          <w:tcPr>
            <w:tcW w:w="631" w:type="dxa"/>
            <w:vMerge w:val="continue"/>
            <w:vAlign w:val="center"/>
          </w:tcPr>
          <w:p w14:paraId="43836B86">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54BB7DC9">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cs="宋体"/>
                <w:szCs w:val="21"/>
              </w:rPr>
              <w:t>碳酸锂</w:t>
            </w:r>
          </w:p>
        </w:tc>
        <w:tc>
          <w:tcPr>
            <w:tcW w:w="1254" w:type="dxa"/>
            <w:vAlign w:val="center"/>
          </w:tcPr>
          <w:p w14:paraId="6DF261C4">
            <w:pPr>
              <w:keepNext w:val="0"/>
              <w:keepLines w:val="0"/>
              <w:suppressLineNumbers w:val="0"/>
              <w:spacing w:before="0" w:beforeAutospacing="0" w:after="0" w:afterAutospacing="0"/>
              <w:ind w:left="0" w:leftChars="0" w:right="0" w:firstLine="210" w:firstLineChars="100"/>
              <w:rPr>
                <w:rFonts w:hint="eastAsia" w:eastAsia="宋体"/>
                <w:szCs w:val="20"/>
              </w:rPr>
            </w:pPr>
            <w:r>
              <w:rPr>
                <w:rFonts w:hint="eastAsia"/>
                <w:szCs w:val="20"/>
              </w:rPr>
              <w:t>筑底</w:t>
            </w:r>
          </w:p>
        </w:tc>
        <w:tc>
          <w:tcPr>
            <w:tcW w:w="6804" w:type="dxa"/>
            <w:vMerge w:val="continue"/>
            <w:shd w:val="clear" w:color="auto" w:fill="auto"/>
          </w:tcPr>
          <w:p w14:paraId="7BBF96A2">
            <w:pPr>
              <w:keepNext w:val="0"/>
              <w:keepLines w:val="0"/>
              <w:suppressLineNumbers w:val="0"/>
              <w:spacing w:before="0" w:beforeAutospacing="0" w:after="0" w:afterAutospacing="0"/>
              <w:ind w:left="0" w:right="0"/>
              <w:rPr>
                <w:rFonts w:hint="default" w:ascii="宋体" w:hAnsi="宋体"/>
                <w:sz w:val="24"/>
                <w:szCs w:val="20"/>
              </w:rPr>
            </w:pPr>
          </w:p>
        </w:tc>
      </w:tr>
      <w:tr w14:paraId="74849214">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473" w:hRule="atLeast"/>
          <w:jc w:val="center"/>
        </w:trPr>
        <w:tc>
          <w:tcPr>
            <w:tcW w:w="631" w:type="dxa"/>
            <w:vMerge w:val="continue"/>
            <w:vAlign w:val="center"/>
          </w:tcPr>
          <w:p w14:paraId="70E1D9BD">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13EEED4A">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cs="宋体"/>
                <w:szCs w:val="21"/>
              </w:rPr>
              <w:t>不锈钢</w:t>
            </w:r>
          </w:p>
        </w:tc>
        <w:tc>
          <w:tcPr>
            <w:tcW w:w="1254" w:type="dxa"/>
            <w:vAlign w:val="center"/>
          </w:tcPr>
          <w:p w14:paraId="43C41AE5">
            <w:pPr>
              <w:keepNext w:val="0"/>
              <w:keepLines w:val="0"/>
              <w:suppressLineNumbers w:val="0"/>
              <w:spacing w:before="0" w:beforeAutospacing="0" w:after="0" w:afterAutospacing="0"/>
              <w:ind w:left="0" w:right="0"/>
              <w:jc w:val="center"/>
              <w:rPr>
                <w:rFonts w:hint="default"/>
                <w:szCs w:val="20"/>
              </w:rPr>
            </w:pPr>
            <w:r>
              <w:rPr>
                <w:rFonts w:hint="eastAsia"/>
                <w:szCs w:val="20"/>
              </w:rPr>
              <w:t>筑底</w:t>
            </w:r>
          </w:p>
        </w:tc>
        <w:tc>
          <w:tcPr>
            <w:tcW w:w="6804" w:type="dxa"/>
            <w:vMerge w:val="continue"/>
            <w:shd w:val="clear" w:color="auto" w:fill="auto"/>
          </w:tcPr>
          <w:p w14:paraId="234366A7">
            <w:pPr>
              <w:keepNext w:val="0"/>
              <w:keepLines w:val="0"/>
              <w:suppressLineNumbers w:val="0"/>
              <w:spacing w:before="0" w:beforeAutospacing="0" w:after="0" w:afterAutospacing="0"/>
              <w:ind w:left="0" w:right="0"/>
              <w:rPr>
                <w:rFonts w:hint="default" w:ascii="宋体" w:hAnsi="宋体"/>
                <w:sz w:val="24"/>
                <w:szCs w:val="20"/>
              </w:rPr>
            </w:pPr>
          </w:p>
        </w:tc>
      </w:tr>
      <w:tr w14:paraId="21D75963">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023" w:hRule="atLeast"/>
          <w:jc w:val="center"/>
        </w:trPr>
        <w:tc>
          <w:tcPr>
            <w:tcW w:w="631" w:type="dxa"/>
            <w:vMerge w:val="restart"/>
            <w:vAlign w:val="center"/>
          </w:tcPr>
          <w:p w14:paraId="0DC358E7">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0EA8F493">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088226E7">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3CCDA4E8">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14832A80">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02499270">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2E5315E1">
            <w:pPr>
              <w:keepNext w:val="0"/>
              <w:keepLines w:val="0"/>
              <w:suppressLineNumbers w:val="0"/>
              <w:spacing w:before="0" w:beforeAutospacing="0" w:after="0" w:afterAutospacing="0"/>
              <w:ind w:left="0" w:right="0"/>
              <w:jc w:val="center"/>
              <w:rPr>
                <w:rFonts w:hint="default" w:ascii="宋体" w:hAnsi="宋体"/>
                <w:b/>
                <w:sz w:val="24"/>
                <w:szCs w:val="21"/>
                <w:woUserID w:val="4"/>
              </w:rPr>
            </w:pPr>
          </w:p>
          <w:p w14:paraId="12C369B7">
            <w:pPr>
              <w:keepNext w:val="0"/>
              <w:keepLines w:val="0"/>
              <w:suppressLineNumbers w:val="0"/>
              <w:spacing w:before="0" w:beforeAutospacing="0" w:after="0" w:afterAutospacing="0"/>
              <w:ind w:left="0" w:right="0"/>
              <w:jc w:val="center"/>
              <w:rPr>
                <w:rFonts w:hint="default" w:ascii="宋体" w:hAnsi="宋体"/>
                <w:b/>
                <w:sz w:val="24"/>
                <w:szCs w:val="21"/>
                <w:woUserID w:val="4"/>
              </w:rPr>
            </w:pPr>
            <w:r>
              <w:rPr>
                <w:rFonts w:hint="eastAsia" w:ascii="宋体" w:hAnsi="宋体"/>
                <w:b/>
                <w:sz w:val="24"/>
                <w:szCs w:val="21"/>
                <w:woUserID w:val="4"/>
              </w:rPr>
              <w:t>油脂油料</w:t>
            </w:r>
          </w:p>
        </w:tc>
        <w:tc>
          <w:tcPr>
            <w:tcW w:w="1397" w:type="dxa"/>
            <w:vAlign w:val="center"/>
          </w:tcPr>
          <w:p w14:paraId="20E950AD">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豆油</w:t>
            </w:r>
          </w:p>
        </w:tc>
        <w:tc>
          <w:tcPr>
            <w:tcW w:w="1254" w:type="dxa"/>
            <w:vAlign w:val="center"/>
          </w:tcPr>
          <w:p w14:paraId="03F1A6D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lang w:eastAsia="zh"/>
                <w:woUserID w:val="4"/>
              </w:rPr>
            </w:pPr>
            <w:r>
              <w:rPr>
                <w:rFonts w:hint="eastAsia" w:ascii="宋体" w:hAnsi="宋体"/>
                <w:color w:val="000000"/>
                <w:szCs w:val="21"/>
                <w:lang w:eastAsia="zh"/>
                <w:woUserID w:val="4"/>
              </w:rPr>
              <w:t>宽幅震荡</w:t>
            </w:r>
          </w:p>
        </w:tc>
        <w:tc>
          <w:tcPr>
            <w:tcW w:w="6804" w:type="dxa"/>
            <w:vMerge w:val="restart"/>
            <w:shd w:val="clear" w:color="auto" w:fill="auto"/>
          </w:tcPr>
          <w:p w14:paraId="6A38D0D5">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lang w:val="en-US" w:eastAsia="zh-CN" w:bidi="ar"/>
                <w:woUserID w:val="4"/>
              </w:rPr>
            </w:pPr>
            <w:r>
              <w:rPr>
                <w:rFonts w:hint="eastAsia" w:ascii="宋体" w:hAnsi="宋体" w:eastAsia="宋体" w:cs="宋体"/>
                <w:b/>
                <w:bCs/>
                <w:kern w:val="2"/>
                <w:sz w:val="21"/>
                <w:szCs w:val="21"/>
                <w:lang w:val="en-US" w:eastAsia="zh-CN" w:bidi="ar"/>
                <w:woUserID w:val="4"/>
              </w:rPr>
              <w:t>油脂：</w:t>
            </w:r>
            <w:r>
              <w:rPr>
                <w:rFonts w:hint="eastAsia" w:ascii="宋体" w:hAnsi="宋体" w:eastAsia="宋体" w:cs="宋体"/>
                <w:b w:val="0"/>
                <w:bCs w:val="0"/>
                <w:kern w:val="2"/>
                <w:sz w:val="21"/>
                <w:szCs w:val="21"/>
                <w:lang w:val="en-US" w:eastAsia="zh-CN" w:bidi="ar"/>
                <w:woUserID w:val="4"/>
              </w:rPr>
              <w:t>MPOB数据显示，</w:t>
            </w:r>
            <w:r>
              <w:rPr>
                <w:rFonts w:hint="eastAsia" w:ascii="宋体" w:hAnsi="宋体" w:cs="宋体"/>
                <w:b w:val="0"/>
                <w:bCs w:val="0"/>
                <w:kern w:val="2"/>
                <w:sz w:val="21"/>
                <w:szCs w:val="21"/>
                <w:lang w:val="en-US" w:eastAsia="zh" w:bidi="ar"/>
                <w:woUserID w:val="4"/>
              </w:rPr>
              <w:t>马棕油</w:t>
            </w:r>
            <w:r>
              <w:rPr>
                <w:rFonts w:hint="eastAsia" w:ascii="宋体" w:hAnsi="宋体" w:eastAsia="宋体" w:cs="宋体"/>
                <w:b w:val="0"/>
                <w:bCs w:val="0"/>
                <w:kern w:val="2"/>
                <w:sz w:val="21"/>
                <w:szCs w:val="21"/>
                <w:lang w:val="en-US" w:eastAsia="zh-CN" w:bidi="ar"/>
                <w:woUserID w:val="4"/>
              </w:rPr>
              <w:t>出口量降至逾四年以来最低水平，产量降幅也不及预期</w:t>
            </w:r>
            <w:r>
              <w:rPr>
                <w:rFonts w:hint="eastAsia" w:ascii="宋体" w:hAnsi="宋体" w:cs="宋体"/>
                <w:b w:val="0"/>
                <w:bCs w:val="0"/>
                <w:kern w:val="2"/>
                <w:sz w:val="21"/>
                <w:szCs w:val="21"/>
                <w:lang w:val="en-US" w:eastAsia="zh" w:bidi="ar"/>
                <w:woUserID w:val="4"/>
              </w:rPr>
              <w:t>，2月马棕库存151.2万吨，环比减少4.31%，高于此前机构预估库存145-148万吨，但库存仍是历史同期极低水平，斋月假期种植园工人生产效率预计下降，再加上由于洪水导致马棕榈油生产中断，产量或仍受影响。</w:t>
            </w:r>
            <w:r>
              <w:rPr>
                <w:rFonts w:hint="eastAsia" w:ascii="宋体" w:hAnsi="宋体" w:eastAsia="宋体" w:cs="宋体"/>
                <w:b w:val="0"/>
                <w:bCs/>
                <w:kern w:val="2"/>
                <w:sz w:val="21"/>
                <w:szCs w:val="21"/>
                <w:lang w:val="en-US" w:eastAsia="zh-CN" w:bidi="ar"/>
                <w:woUserID w:val="4"/>
              </w:rPr>
              <w:t>市场</w:t>
            </w:r>
            <w:r>
              <w:rPr>
                <w:rFonts w:hint="eastAsia" w:ascii="宋体" w:hAnsi="宋体" w:cs="宋体"/>
                <w:b w:val="0"/>
                <w:bCs/>
                <w:kern w:val="2"/>
                <w:sz w:val="21"/>
                <w:szCs w:val="21"/>
                <w:lang w:val="en-US" w:eastAsia="zh" w:bidi="ar"/>
                <w:woUserID w:val="4"/>
              </w:rPr>
              <w:t>观望</w:t>
            </w:r>
            <w:r>
              <w:rPr>
                <w:rFonts w:hint="eastAsia" w:ascii="宋体" w:hAnsi="宋体" w:eastAsia="宋体" w:cs="宋体"/>
                <w:b w:val="0"/>
                <w:bCs/>
                <w:kern w:val="2"/>
                <w:sz w:val="21"/>
                <w:szCs w:val="21"/>
                <w:lang w:val="en-US" w:eastAsia="zh-CN" w:bidi="ar"/>
                <w:woUserID w:val="4"/>
              </w:rPr>
              <w:t>印尼B40生物柴油项目</w:t>
            </w:r>
            <w:r>
              <w:rPr>
                <w:rFonts w:hint="eastAsia" w:ascii="宋体" w:hAnsi="宋体" w:cs="宋体"/>
                <w:b w:val="0"/>
                <w:bCs/>
                <w:kern w:val="2"/>
                <w:sz w:val="21"/>
                <w:szCs w:val="21"/>
                <w:lang w:val="en-US" w:eastAsia="zh" w:bidi="ar"/>
                <w:woUserID w:val="4"/>
              </w:rPr>
              <w:t>执行通知</w:t>
            </w:r>
            <w:r>
              <w:rPr>
                <w:rFonts w:hint="eastAsia" w:ascii="宋体" w:hAnsi="宋体" w:eastAsia="宋体" w:cs="宋体"/>
                <w:b w:val="0"/>
                <w:bCs/>
                <w:kern w:val="2"/>
                <w:sz w:val="21"/>
                <w:szCs w:val="21"/>
                <w:lang w:val="en-US" w:eastAsia="zh-CN" w:bidi="ar"/>
                <w:woUserID w:val="4"/>
              </w:rPr>
              <w:t>。尽管巴西南部以及阿根廷仍有干旱但总体无碍南美大豆创纪录丰产。国内大豆3月到港量偏低，油厂开机率下滑，豆油供应减少，棕油库存偏低，油脂震荡</w:t>
            </w:r>
            <w:r>
              <w:rPr>
                <w:rFonts w:hint="eastAsia" w:ascii="宋体" w:hAnsi="宋体" w:cs="宋体"/>
                <w:b w:val="0"/>
                <w:bCs/>
                <w:kern w:val="2"/>
                <w:sz w:val="21"/>
                <w:szCs w:val="21"/>
                <w:lang w:val="en-US" w:eastAsia="zh" w:bidi="ar"/>
                <w:woUserID w:val="4"/>
              </w:rPr>
              <w:t>偏多</w:t>
            </w:r>
            <w:r>
              <w:rPr>
                <w:rFonts w:hint="eastAsia" w:ascii="宋体" w:hAnsi="宋体" w:eastAsia="宋体" w:cs="宋体"/>
                <w:b w:val="0"/>
                <w:bCs/>
                <w:kern w:val="2"/>
                <w:sz w:val="21"/>
                <w:szCs w:val="21"/>
                <w:lang w:val="en-US" w:eastAsia="zh-CN" w:bidi="ar"/>
                <w:woUserID w:val="4"/>
              </w:rPr>
              <w:t>，关注阿根廷天气及马棕油产销</w:t>
            </w:r>
            <w:r>
              <w:rPr>
                <w:rFonts w:hint="eastAsia" w:ascii="宋体" w:hAnsi="宋体" w:eastAsia="宋体" w:cs="宋体"/>
                <w:b w:val="0"/>
                <w:bCs w:val="0"/>
                <w:kern w:val="2"/>
                <w:sz w:val="21"/>
                <w:szCs w:val="21"/>
                <w:lang w:val="en-US" w:eastAsia="zh-CN" w:bidi="ar"/>
                <w:woUserID w:val="4"/>
              </w:rPr>
              <w:t>。</w:t>
            </w:r>
          </w:p>
          <w:p w14:paraId="635A1145">
            <w:pPr>
              <w:keepNext w:val="0"/>
              <w:keepLines w:val="0"/>
              <w:widowControl w:val="0"/>
              <w:suppressLineNumbers w:val="0"/>
              <w:spacing w:before="0" w:beforeAutospacing="0" w:after="0" w:afterAutospacing="0"/>
              <w:ind w:left="0" w:right="0"/>
              <w:jc w:val="both"/>
              <w:rPr>
                <w:rFonts w:hint="eastAsia" w:ascii="宋体" w:hAnsi="宋体" w:cs="宋体"/>
                <w:b w:val="0"/>
                <w:bCs/>
                <w:kern w:val="2"/>
                <w:sz w:val="21"/>
                <w:szCs w:val="21"/>
                <w:lang w:val="en-US" w:eastAsia="zh" w:bidi="ar"/>
                <w:woUserID w:val="4"/>
              </w:rPr>
            </w:pPr>
            <w:r>
              <w:rPr>
                <w:rFonts w:hint="eastAsia" w:ascii="宋体" w:hAnsi="宋体" w:eastAsia="宋体" w:cs="宋体"/>
                <w:b/>
                <w:bCs/>
                <w:kern w:val="2"/>
                <w:sz w:val="21"/>
                <w:szCs w:val="21"/>
                <w:lang w:val="en-US" w:eastAsia="zh-CN" w:bidi="ar"/>
                <w:woUserID w:val="4"/>
              </w:rPr>
              <w:t>粕类</w:t>
            </w:r>
            <w:r>
              <w:rPr>
                <w:rFonts w:hint="eastAsia" w:ascii="宋体" w:hAnsi="宋体" w:eastAsia="宋体" w:cs="宋体"/>
                <w:b w:val="0"/>
                <w:bCs/>
                <w:kern w:val="2"/>
                <w:sz w:val="21"/>
                <w:szCs w:val="21"/>
                <w:lang w:val="en-US" w:eastAsia="zh-CN" w:bidi="ar"/>
                <w:woUserID w:val="4"/>
              </w:rPr>
              <w:t>：USDA3月月报未对全球大豆产量做调整，上调了中国及阿根廷压榨量，导致全球大豆24/25年度期末库存小幅下调300万吨，报告中性</w:t>
            </w:r>
            <w:r>
              <w:rPr>
                <w:rFonts w:hint="eastAsia" w:ascii="宋体" w:hAnsi="宋体" w:cs="宋体"/>
                <w:b w:val="0"/>
                <w:bCs/>
                <w:kern w:val="2"/>
                <w:sz w:val="21"/>
                <w:szCs w:val="21"/>
                <w:lang w:val="en-US" w:eastAsia="zh" w:bidi="ar"/>
                <w:woUserID w:val="4"/>
              </w:rPr>
              <w:t>。</w:t>
            </w:r>
            <w:r>
              <w:rPr>
                <w:rFonts w:hint="eastAsia" w:ascii="宋体" w:hAnsi="宋体" w:eastAsia="宋体" w:cs="宋体"/>
                <w:b w:val="0"/>
                <w:bCs/>
                <w:kern w:val="2"/>
                <w:sz w:val="21"/>
                <w:szCs w:val="21"/>
                <w:lang w:val="en-US" w:eastAsia="zh-CN" w:bidi="ar"/>
                <w:woUserID w:val="4"/>
              </w:rPr>
              <w:t>巴西大豆收割进度</w:t>
            </w:r>
            <w:r>
              <w:rPr>
                <w:rFonts w:hint="eastAsia" w:ascii="宋体" w:hAnsi="宋体" w:cs="宋体"/>
                <w:b w:val="0"/>
                <w:bCs/>
                <w:kern w:val="2"/>
                <w:sz w:val="21"/>
                <w:szCs w:val="21"/>
                <w:lang w:val="en-US" w:eastAsia="zh" w:bidi="ar"/>
                <w:woUserID w:val="4"/>
              </w:rPr>
              <w:t>超过去年同期</w:t>
            </w:r>
            <w:r>
              <w:rPr>
                <w:rFonts w:hint="eastAsia" w:ascii="宋体" w:hAnsi="宋体" w:eastAsia="宋体" w:cs="宋体"/>
                <w:b w:val="0"/>
                <w:bCs/>
                <w:kern w:val="2"/>
                <w:sz w:val="21"/>
                <w:szCs w:val="21"/>
                <w:lang w:val="en-US" w:eastAsia="zh-CN" w:bidi="ar"/>
                <w:woUserID w:val="4"/>
              </w:rPr>
              <w:t>，阿根廷大豆产区气温将上升，不过近期降雨有利于大豆生长改善。受中美和中加贸易风险影响，国内大豆菜籽供应下降成本抬升。JCI预计国内3月大豆到港550万吨，但油厂断豆停机及供应紧张局面暂未出现，大部分下游饲料企业豆粕头寸建到了 3 月底，目前保持安全物理库存滚动，买货积极性较弱，菜粕价格偏强运行，比价优势下豆粕价格将得到提振</w:t>
            </w:r>
            <w:r>
              <w:rPr>
                <w:rFonts w:hint="eastAsia" w:ascii="宋体" w:hAnsi="宋体" w:cs="宋体"/>
                <w:b w:val="0"/>
                <w:bCs/>
                <w:kern w:val="2"/>
                <w:sz w:val="21"/>
                <w:szCs w:val="21"/>
                <w:lang w:val="en-US" w:eastAsia="zh" w:bidi="ar"/>
                <w:woUserID w:val="4"/>
              </w:rPr>
              <w:t>,</w:t>
            </w:r>
            <w:r>
              <w:rPr>
                <w:rFonts w:hint="eastAsia" w:ascii="宋体" w:hAnsi="宋体" w:eastAsia="宋体" w:cs="宋体"/>
                <w:b w:val="0"/>
                <w:bCs/>
                <w:kern w:val="2"/>
                <w:sz w:val="21"/>
                <w:szCs w:val="21"/>
                <w:lang w:val="en-US" w:eastAsia="zh-CN" w:bidi="ar"/>
                <w:woUserID w:val="4"/>
              </w:rPr>
              <w:t>预计豆粕</w:t>
            </w:r>
            <w:r>
              <w:rPr>
                <w:rFonts w:hint="eastAsia" w:ascii="宋体" w:hAnsi="宋体" w:cs="宋体"/>
                <w:b w:val="0"/>
                <w:bCs/>
                <w:kern w:val="2"/>
                <w:sz w:val="21"/>
                <w:szCs w:val="21"/>
                <w:lang w:val="en-US" w:eastAsia="zh" w:bidi="ar"/>
                <w:woUserID w:val="4"/>
              </w:rPr>
              <w:t>宽幅震荡</w:t>
            </w:r>
            <w:r>
              <w:rPr>
                <w:rFonts w:hint="eastAsia" w:ascii="宋体" w:hAnsi="宋体" w:eastAsia="宋体" w:cs="宋体"/>
                <w:b w:val="0"/>
                <w:bCs/>
                <w:kern w:val="2"/>
                <w:sz w:val="21"/>
                <w:szCs w:val="21"/>
                <w:lang w:val="en-US" w:eastAsia="zh-CN" w:bidi="ar"/>
                <w:woUserID w:val="4"/>
              </w:rPr>
              <w:t>，关注南美豆天气以及大豆到港情况。</w:t>
            </w:r>
          </w:p>
          <w:p w14:paraId="591BF151">
            <w:pPr>
              <w:keepNext w:val="0"/>
              <w:keepLines w:val="0"/>
              <w:widowControl w:val="0"/>
              <w:suppressLineNumbers w:val="0"/>
              <w:spacing w:before="0" w:beforeAutospacing="0" w:after="0" w:afterAutospacing="0"/>
              <w:ind w:left="0" w:right="0"/>
              <w:jc w:val="both"/>
              <w:rPr>
                <w:rFonts w:hint="default" w:ascii="宋体" w:hAnsi="宋体" w:eastAsia="宋体" w:cs="宋体"/>
                <w:b w:val="0"/>
                <w:bCs/>
                <w:kern w:val="2"/>
                <w:sz w:val="21"/>
                <w:szCs w:val="21"/>
                <w:lang w:val="en-US" w:eastAsia="zh-CN" w:bidi="ar"/>
                <w:woUserID w:val="4"/>
              </w:rPr>
            </w:pPr>
            <w:r>
              <w:rPr>
                <w:rFonts w:hint="eastAsia" w:ascii="宋体" w:hAnsi="宋体" w:eastAsia="宋体" w:cs="宋体"/>
                <w:b/>
                <w:bCs/>
                <w:kern w:val="2"/>
                <w:sz w:val="21"/>
                <w:szCs w:val="21"/>
                <w:lang w:val="en-US" w:eastAsia="zh-CN" w:bidi="ar"/>
                <w:woUserID w:val="4"/>
              </w:rPr>
              <w:t>豆二</w:t>
            </w:r>
            <w:r>
              <w:rPr>
                <w:rFonts w:hint="eastAsia" w:ascii="宋体" w:hAnsi="宋体" w:eastAsia="宋体" w:cs="宋体"/>
                <w:b w:val="0"/>
                <w:bCs/>
                <w:kern w:val="2"/>
                <w:sz w:val="21"/>
                <w:szCs w:val="21"/>
                <w:lang w:val="en-US" w:eastAsia="zh-CN" w:bidi="ar"/>
                <w:woUserID w:val="4"/>
              </w:rPr>
              <w:t>：USDA对美国大豆平衡表并未调整，仅仅微调了全球供求，报告整体均呈中性</w:t>
            </w:r>
            <w:r>
              <w:rPr>
                <w:rFonts w:hint="eastAsia" w:ascii="宋体" w:hAnsi="宋体" w:cs="宋体"/>
                <w:b w:val="0"/>
                <w:bCs/>
                <w:kern w:val="2"/>
                <w:sz w:val="21"/>
                <w:szCs w:val="21"/>
                <w:lang w:val="en-US" w:eastAsia="zh" w:bidi="ar"/>
                <w:woUserID w:val="4"/>
              </w:rPr>
              <w:t>。</w:t>
            </w:r>
            <w:r>
              <w:rPr>
                <w:rFonts w:hint="eastAsia" w:ascii="宋体" w:hAnsi="宋体" w:eastAsia="宋体" w:cs="宋体"/>
                <w:b w:val="0"/>
                <w:bCs/>
                <w:kern w:val="2"/>
                <w:sz w:val="21"/>
                <w:szCs w:val="21"/>
                <w:lang w:val="en-US" w:eastAsia="zh-CN" w:bidi="ar"/>
                <w:woUserID w:val="4"/>
              </w:rPr>
              <w:t>巴西新豆出口提速叠加阿根廷收获推进，南美大豆丰产预期逐步落地。中美贸易摩擦升温继续为国内市场注入贸易升水</w:t>
            </w:r>
            <w:r>
              <w:rPr>
                <w:rFonts w:hint="eastAsia" w:ascii="宋体" w:hAnsi="宋体" w:cs="宋体"/>
                <w:b w:val="0"/>
                <w:bCs/>
                <w:kern w:val="2"/>
                <w:sz w:val="21"/>
                <w:szCs w:val="21"/>
                <w:lang w:val="en-US" w:eastAsia="zh" w:bidi="ar"/>
                <w:woUserID w:val="4"/>
              </w:rPr>
              <w:t>，</w:t>
            </w:r>
            <w:r>
              <w:rPr>
                <w:rFonts w:hint="eastAsia" w:ascii="宋体" w:hAnsi="宋体" w:eastAsia="宋体" w:cs="宋体"/>
                <w:b w:val="0"/>
                <w:bCs/>
                <w:kern w:val="2"/>
                <w:sz w:val="21"/>
                <w:szCs w:val="21"/>
                <w:lang w:val="en-US" w:eastAsia="zh-CN" w:bidi="ar"/>
                <w:woUserID w:val="4"/>
              </w:rPr>
              <w:t>由于国内大豆</w:t>
            </w:r>
            <w:r>
              <w:rPr>
                <w:rFonts w:hint="eastAsia" w:ascii="宋体" w:hAnsi="宋体" w:cs="宋体"/>
                <w:b w:val="0"/>
                <w:bCs/>
                <w:kern w:val="2"/>
                <w:sz w:val="21"/>
                <w:szCs w:val="21"/>
                <w:lang w:val="en-US" w:eastAsia="zh" w:bidi="ar"/>
                <w:woUserID w:val="4"/>
              </w:rPr>
              <w:t>对巴西大豆进口</w:t>
            </w:r>
            <w:r>
              <w:rPr>
                <w:rFonts w:hint="eastAsia" w:ascii="宋体" w:hAnsi="宋体" w:eastAsia="宋体" w:cs="宋体"/>
                <w:b w:val="0"/>
                <w:bCs/>
                <w:kern w:val="2"/>
                <w:sz w:val="21"/>
                <w:szCs w:val="21"/>
                <w:lang w:val="en-US" w:eastAsia="zh-CN" w:bidi="ar"/>
                <w:woUserID w:val="4"/>
              </w:rPr>
              <w:t>依存度的提升</w:t>
            </w:r>
            <w:r>
              <w:rPr>
                <w:rFonts w:hint="eastAsia" w:ascii="宋体" w:hAnsi="宋体" w:cs="宋体"/>
                <w:b w:val="0"/>
                <w:bCs/>
                <w:kern w:val="2"/>
                <w:sz w:val="21"/>
                <w:szCs w:val="21"/>
                <w:lang w:val="en-US" w:eastAsia="zh" w:bidi="ar"/>
                <w:woUserID w:val="4"/>
              </w:rPr>
              <w:t>，</w:t>
            </w:r>
            <w:r>
              <w:rPr>
                <w:rFonts w:hint="eastAsia" w:ascii="宋体" w:hAnsi="宋体" w:eastAsia="宋体" w:cs="宋体"/>
                <w:b w:val="0"/>
                <w:bCs/>
                <w:kern w:val="2"/>
                <w:sz w:val="21"/>
                <w:szCs w:val="21"/>
                <w:lang w:val="en-US" w:eastAsia="zh-CN" w:bidi="ar"/>
                <w:woUserID w:val="4"/>
              </w:rPr>
              <w:t>将直接影响国内大豆成本，</w:t>
            </w:r>
            <w:r>
              <w:rPr>
                <w:rFonts w:hint="eastAsia" w:ascii="宋体" w:hAnsi="宋体" w:cs="宋体"/>
                <w:b w:val="0"/>
                <w:bCs/>
                <w:kern w:val="2"/>
                <w:sz w:val="21"/>
                <w:szCs w:val="21"/>
                <w:lang w:val="en-US" w:eastAsia="zh" w:bidi="ar"/>
                <w:woUserID w:val="4"/>
              </w:rPr>
              <w:t>一</w:t>
            </w:r>
            <w:r>
              <w:rPr>
                <w:rFonts w:hint="eastAsia" w:ascii="宋体" w:hAnsi="宋体" w:eastAsia="宋体" w:cs="宋体"/>
                <w:b w:val="0"/>
                <w:bCs/>
                <w:kern w:val="2"/>
                <w:sz w:val="21"/>
                <w:szCs w:val="21"/>
                <w:lang w:val="en-US" w:eastAsia="zh-CN" w:bidi="ar"/>
                <w:woUserID w:val="4"/>
              </w:rPr>
              <w:t>季度大豆到港预期低于去年同期</w:t>
            </w:r>
            <w:r>
              <w:rPr>
                <w:rFonts w:hint="eastAsia" w:ascii="宋体" w:hAnsi="宋体" w:cs="宋体"/>
                <w:b w:val="0"/>
                <w:bCs/>
                <w:kern w:val="2"/>
                <w:sz w:val="21"/>
                <w:szCs w:val="21"/>
                <w:lang w:val="en-US" w:eastAsia="zh" w:bidi="ar"/>
                <w:woUserID w:val="4"/>
              </w:rPr>
              <w:t>，不过二月中旬以来巴西对华大豆装船慢慢好转</w:t>
            </w:r>
            <w:r>
              <w:rPr>
                <w:rFonts w:hint="eastAsia" w:ascii="宋体" w:hAnsi="宋体" w:eastAsia="宋体" w:cs="宋体"/>
                <w:b w:val="0"/>
                <w:bCs/>
                <w:kern w:val="2"/>
                <w:sz w:val="21"/>
                <w:szCs w:val="21"/>
                <w:lang w:val="en-US" w:eastAsia="zh-CN" w:bidi="ar"/>
                <w:woUserID w:val="4"/>
              </w:rPr>
              <w:t>，预计豆二</w:t>
            </w:r>
            <w:r>
              <w:rPr>
                <w:rFonts w:hint="eastAsia" w:ascii="宋体" w:hAnsi="宋体" w:cs="宋体"/>
                <w:b w:val="0"/>
                <w:bCs/>
                <w:kern w:val="2"/>
                <w:sz w:val="21"/>
                <w:szCs w:val="21"/>
                <w:lang w:val="en-US" w:eastAsia="zh" w:bidi="ar"/>
                <w:woUserID w:val="4"/>
              </w:rPr>
              <w:t>宽幅震荡</w:t>
            </w:r>
            <w:r>
              <w:rPr>
                <w:rFonts w:hint="eastAsia" w:ascii="宋体" w:hAnsi="宋体" w:eastAsia="宋体" w:cs="宋体"/>
                <w:b w:val="0"/>
                <w:bCs/>
                <w:kern w:val="2"/>
                <w:sz w:val="21"/>
                <w:szCs w:val="21"/>
                <w:lang w:val="en-US" w:eastAsia="zh-CN" w:bidi="ar"/>
                <w:woUserID w:val="4"/>
              </w:rPr>
              <w:t>，关注南美豆天气及大豆到港。</w:t>
            </w:r>
          </w:p>
        </w:tc>
      </w:tr>
      <w:tr w14:paraId="3B9D7556">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10" w:hRule="atLeast"/>
          <w:jc w:val="center"/>
        </w:trPr>
        <w:tc>
          <w:tcPr>
            <w:tcW w:w="631" w:type="dxa"/>
            <w:vMerge w:val="continue"/>
            <w:vAlign w:val="center"/>
          </w:tcPr>
          <w:p w14:paraId="21A3CB2F">
            <w:pPr>
              <w:keepNext w:val="0"/>
              <w:keepLines w:val="0"/>
              <w:suppressLineNumbers w:val="0"/>
              <w:spacing w:before="0" w:beforeAutospacing="0" w:after="0" w:afterAutospacing="0"/>
              <w:ind w:left="0" w:right="0"/>
              <w:jc w:val="center"/>
              <w:rPr>
                <w:rFonts w:hint="default" w:ascii="宋体" w:hAnsi="宋体"/>
                <w:b/>
                <w:sz w:val="24"/>
                <w:szCs w:val="21"/>
                <w:woUserID w:val="4"/>
              </w:rPr>
            </w:pPr>
          </w:p>
        </w:tc>
        <w:tc>
          <w:tcPr>
            <w:tcW w:w="1397" w:type="dxa"/>
            <w:vAlign w:val="center"/>
          </w:tcPr>
          <w:p w14:paraId="32227447">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棕油</w:t>
            </w:r>
          </w:p>
        </w:tc>
        <w:tc>
          <w:tcPr>
            <w:tcW w:w="1254" w:type="dxa"/>
            <w:vAlign w:val="center"/>
          </w:tcPr>
          <w:p w14:paraId="5970B1F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lang w:eastAsia="zh"/>
                <w:woUserID w:val="4"/>
              </w:rPr>
            </w:pPr>
            <w:r>
              <w:rPr>
                <w:rFonts w:hint="eastAsia" w:ascii="宋体" w:hAnsi="宋体"/>
                <w:color w:val="000000"/>
                <w:szCs w:val="21"/>
                <w:lang w:eastAsia="zh"/>
                <w:woUserID w:val="4"/>
              </w:rPr>
              <w:t>宽幅震荡</w:t>
            </w:r>
          </w:p>
        </w:tc>
        <w:tc>
          <w:tcPr>
            <w:tcW w:w="6804" w:type="dxa"/>
            <w:vMerge w:val="continue"/>
            <w:shd w:val="clear" w:color="auto" w:fill="auto"/>
          </w:tcPr>
          <w:p w14:paraId="6AA8FFA5">
            <w:pPr>
              <w:keepNext w:val="0"/>
              <w:keepLines w:val="0"/>
              <w:suppressLineNumbers w:val="0"/>
              <w:spacing w:before="0" w:beforeAutospacing="0" w:after="0" w:afterAutospacing="0"/>
              <w:ind w:left="0" w:leftChars="0" w:right="0" w:rightChars="0"/>
              <w:rPr>
                <w:rFonts w:hint="default" w:ascii="宋体" w:hAnsi="宋体" w:eastAsia="宋体"/>
                <w:szCs w:val="21"/>
                <w:woUserID w:val="4"/>
              </w:rPr>
            </w:pPr>
          </w:p>
        </w:tc>
      </w:tr>
      <w:tr w14:paraId="5AA136F5">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50" w:hRule="atLeast"/>
          <w:jc w:val="center"/>
        </w:trPr>
        <w:tc>
          <w:tcPr>
            <w:tcW w:w="631" w:type="dxa"/>
            <w:vMerge w:val="continue"/>
            <w:vAlign w:val="center"/>
          </w:tcPr>
          <w:p w14:paraId="6A89305D">
            <w:pPr>
              <w:keepNext w:val="0"/>
              <w:keepLines w:val="0"/>
              <w:suppressLineNumbers w:val="0"/>
              <w:spacing w:before="0" w:beforeAutospacing="0" w:after="0" w:afterAutospacing="0"/>
              <w:ind w:left="0" w:right="0"/>
              <w:jc w:val="center"/>
              <w:rPr>
                <w:rFonts w:hint="default" w:ascii="宋体" w:hAnsi="宋体"/>
                <w:b/>
                <w:sz w:val="24"/>
                <w:szCs w:val="21"/>
                <w:woUserID w:val="4"/>
              </w:rPr>
            </w:pPr>
          </w:p>
        </w:tc>
        <w:tc>
          <w:tcPr>
            <w:tcW w:w="1397" w:type="dxa"/>
            <w:vAlign w:val="center"/>
          </w:tcPr>
          <w:p w14:paraId="0C88DCFE">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菜油</w:t>
            </w:r>
          </w:p>
        </w:tc>
        <w:tc>
          <w:tcPr>
            <w:tcW w:w="1254" w:type="dxa"/>
            <w:vAlign w:val="center"/>
          </w:tcPr>
          <w:p w14:paraId="6C602BC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woUserID w:val="4"/>
              </w:rPr>
            </w:pPr>
            <w:r>
              <w:rPr>
                <w:rFonts w:hint="eastAsia" w:ascii="宋体" w:hAnsi="宋体"/>
                <w:color w:val="000000"/>
                <w:szCs w:val="21"/>
                <w:lang w:eastAsia="zh"/>
                <w:woUserID w:val="4"/>
              </w:rPr>
              <w:t>宽幅震荡</w:t>
            </w:r>
          </w:p>
        </w:tc>
        <w:tc>
          <w:tcPr>
            <w:tcW w:w="6804" w:type="dxa"/>
            <w:vMerge w:val="continue"/>
            <w:shd w:val="clear" w:color="auto" w:fill="auto"/>
          </w:tcPr>
          <w:p w14:paraId="5DEBA84E">
            <w:pPr>
              <w:keepNext w:val="0"/>
              <w:keepLines w:val="0"/>
              <w:suppressLineNumbers w:val="0"/>
              <w:spacing w:before="0" w:beforeAutospacing="0" w:after="0" w:afterAutospacing="0"/>
              <w:ind w:left="0" w:leftChars="0" w:right="0" w:rightChars="0"/>
              <w:rPr>
                <w:rFonts w:hint="default" w:ascii="宋体" w:hAnsi="宋体" w:eastAsia="宋体"/>
                <w:szCs w:val="21"/>
                <w:woUserID w:val="4"/>
              </w:rPr>
            </w:pPr>
          </w:p>
        </w:tc>
      </w:tr>
      <w:tr w14:paraId="29BE3F30">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34" w:hRule="atLeast"/>
          <w:jc w:val="center"/>
        </w:trPr>
        <w:tc>
          <w:tcPr>
            <w:tcW w:w="631" w:type="dxa"/>
            <w:vMerge w:val="continue"/>
            <w:vAlign w:val="center"/>
          </w:tcPr>
          <w:p w14:paraId="0D9918EA">
            <w:pPr>
              <w:keepNext w:val="0"/>
              <w:keepLines w:val="0"/>
              <w:suppressLineNumbers w:val="0"/>
              <w:spacing w:before="0" w:beforeAutospacing="0" w:after="0" w:afterAutospacing="0"/>
              <w:ind w:left="0" w:right="0"/>
              <w:jc w:val="center"/>
              <w:rPr>
                <w:rFonts w:hint="default" w:ascii="宋体" w:hAnsi="宋体"/>
                <w:b/>
                <w:sz w:val="24"/>
                <w:szCs w:val="21"/>
                <w:woUserID w:val="4"/>
              </w:rPr>
            </w:pPr>
          </w:p>
        </w:tc>
        <w:tc>
          <w:tcPr>
            <w:tcW w:w="1397" w:type="dxa"/>
            <w:vAlign w:val="center"/>
          </w:tcPr>
          <w:p w14:paraId="0AE964F7">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豆粕</w:t>
            </w:r>
          </w:p>
        </w:tc>
        <w:tc>
          <w:tcPr>
            <w:tcW w:w="1254" w:type="dxa"/>
            <w:vAlign w:val="center"/>
          </w:tcPr>
          <w:p w14:paraId="255026B4">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woUserID w:val="4"/>
              </w:rPr>
            </w:pPr>
            <w:r>
              <w:rPr>
                <w:rFonts w:hint="eastAsia" w:ascii="宋体" w:hAnsi="宋体" w:cs="宋体"/>
                <w:b w:val="0"/>
                <w:bCs/>
                <w:kern w:val="2"/>
                <w:sz w:val="21"/>
                <w:szCs w:val="21"/>
                <w:lang w:val="en-US" w:eastAsia="zh" w:bidi="ar"/>
                <w:woUserID w:val="4"/>
              </w:rPr>
              <w:t>宽幅</w:t>
            </w:r>
            <w:r>
              <w:rPr>
                <w:rFonts w:hint="eastAsia" w:ascii="宋体" w:hAnsi="宋体" w:eastAsia="宋体" w:cs="宋体"/>
                <w:b w:val="0"/>
                <w:bCs/>
                <w:kern w:val="2"/>
                <w:sz w:val="21"/>
                <w:szCs w:val="21"/>
                <w:lang w:val="en-US" w:eastAsia="zh-CN" w:bidi="ar"/>
                <w:woUserID w:val="4"/>
              </w:rPr>
              <w:t>震荡</w:t>
            </w:r>
          </w:p>
        </w:tc>
        <w:tc>
          <w:tcPr>
            <w:tcW w:w="6804" w:type="dxa"/>
            <w:vMerge w:val="continue"/>
            <w:shd w:val="clear" w:color="auto" w:fill="auto"/>
          </w:tcPr>
          <w:p w14:paraId="10821A52">
            <w:pPr>
              <w:keepNext w:val="0"/>
              <w:keepLines w:val="0"/>
              <w:suppressLineNumbers w:val="0"/>
              <w:spacing w:before="0" w:beforeAutospacing="0" w:after="0" w:afterAutospacing="0"/>
              <w:ind w:left="0" w:leftChars="0" w:right="0" w:rightChars="0"/>
              <w:rPr>
                <w:rFonts w:hint="default" w:ascii="宋体" w:hAnsi="宋体" w:eastAsia="宋体"/>
                <w:szCs w:val="21"/>
                <w:woUserID w:val="4"/>
              </w:rPr>
            </w:pPr>
          </w:p>
        </w:tc>
      </w:tr>
      <w:tr w14:paraId="3EC788AF">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43" w:hRule="atLeast"/>
          <w:jc w:val="center"/>
        </w:trPr>
        <w:tc>
          <w:tcPr>
            <w:tcW w:w="631" w:type="dxa"/>
            <w:vMerge w:val="continue"/>
            <w:vAlign w:val="center"/>
          </w:tcPr>
          <w:p w14:paraId="589924CA">
            <w:pPr>
              <w:keepNext w:val="0"/>
              <w:keepLines w:val="0"/>
              <w:suppressLineNumbers w:val="0"/>
              <w:spacing w:before="0" w:beforeAutospacing="0" w:after="0" w:afterAutospacing="0"/>
              <w:ind w:left="0" w:right="0"/>
              <w:jc w:val="center"/>
              <w:rPr>
                <w:rFonts w:hint="default" w:ascii="宋体" w:hAnsi="宋体"/>
                <w:b/>
                <w:sz w:val="24"/>
                <w:szCs w:val="21"/>
                <w:woUserID w:val="4"/>
              </w:rPr>
            </w:pPr>
          </w:p>
        </w:tc>
        <w:tc>
          <w:tcPr>
            <w:tcW w:w="1397" w:type="dxa"/>
            <w:vAlign w:val="center"/>
          </w:tcPr>
          <w:p w14:paraId="566AB465">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菜粕</w:t>
            </w:r>
          </w:p>
        </w:tc>
        <w:tc>
          <w:tcPr>
            <w:tcW w:w="1254" w:type="dxa"/>
            <w:vAlign w:val="center"/>
          </w:tcPr>
          <w:p w14:paraId="6A0F5123">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woUserID w:val="4"/>
              </w:rPr>
            </w:pPr>
            <w:r>
              <w:rPr>
                <w:rFonts w:hint="eastAsia" w:ascii="宋体" w:hAnsi="宋体" w:eastAsia="宋体" w:cs="宋体"/>
                <w:b w:val="0"/>
                <w:bCs/>
                <w:kern w:val="2"/>
                <w:sz w:val="21"/>
                <w:szCs w:val="21"/>
                <w:lang w:val="en-US" w:eastAsia="zh-CN" w:bidi="ar"/>
                <w:woUserID w:val="4"/>
              </w:rPr>
              <w:t>震荡</w:t>
            </w:r>
            <w:r>
              <w:rPr>
                <w:rFonts w:hint="eastAsia" w:ascii="宋体" w:hAnsi="宋体" w:cs="宋体"/>
                <w:b w:val="0"/>
                <w:bCs/>
                <w:kern w:val="2"/>
                <w:sz w:val="21"/>
                <w:szCs w:val="21"/>
                <w:lang w:val="en-US" w:eastAsia="zh" w:bidi="ar"/>
                <w:woUserID w:val="4"/>
              </w:rPr>
              <w:t>偏多</w:t>
            </w:r>
          </w:p>
        </w:tc>
        <w:tc>
          <w:tcPr>
            <w:tcW w:w="6804" w:type="dxa"/>
            <w:vMerge w:val="continue"/>
            <w:shd w:val="clear" w:color="auto" w:fill="auto"/>
          </w:tcPr>
          <w:p w14:paraId="78E51467">
            <w:pPr>
              <w:keepNext w:val="0"/>
              <w:keepLines w:val="0"/>
              <w:suppressLineNumbers w:val="0"/>
              <w:spacing w:before="0" w:beforeAutospacing="0" w:after="0" w:afterAutospacing="0"/>
              <w:ind w:left="0" w:leftChars="0" w:right="0" w:rightChars="0"/>
              <w:rPr>
                <w:rFonts w:hint="default" w:ascii="宋体" w:hAnsi="宋体" w:eastAsia="宋体"/>
                <w:szCs w:val="21"/>
                <w:woUserID w:val="4"/>
              </w:rPr>
            </w:pPr>
          </w:p>
        </w:tc>
      </w:tr>
      <w:tr w14:paraId="20D3364D">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33" w:hRule="atLeast"/>
          <w:jc w:val="center"/>
        </w:trPr>
        <w:tc>
          <w:tcPr>
            <w:tcW w:w="631" w:type="dxa"/>
            <w:vMerge w:val="continue"/>
            <w:vAlign w:val="center"/>
          </w:tcPr>
          <w:p w14:paraId="1B330F80">
            <w:pPr>
              <w:keepNext w:val="0"/>
              <w:keepLines w:val="0"/>
              <w:suppressLineNumbers w:val="0"/>
              <w:spacing w:before="0" w:beforeAutospacing="0" w:after="0" w:afterAutospacing="0"/>
              <w:ind w:left="0" w:right="0"/>
              <w:jc w:val="center"/>
              <w:rPr>
                <w:rFonts w:hint="default" w:ascii="宋体" w:hAnsi="宋体"/>
                <w:b/>
                <w:sz w:val="24"/>
                <w:szCs w:val="21"/>
                <w:woUserID w:val="4"/>
              </w:rPr>
            </w:pPr>
          </w:p>
        </w:tc>
        <w:tc>
          <w:tcPr>
            <w:tcW w:w="1397" w:type="dxa"/>
            <w:vAlign w:val="center"/>
          </w:tcPr>
          <w:p w14:paraId="0E038DB3">
            <w:pPr>
              <w:keepNext w:val="0"/>
              <w:keepLines w:val="0"/>
              <w:widowControl w:val="0"/>
              <w:suppressLineNumbers w:val="0"/>
              <w:spacing w:before="0" w:beforeAutospacing="0" w:after="0" w:afterAutospacing="0"/>
              <w:ind w:left="0" w:leftChars="0" w:right="0" w:rightChars="0"/>
              <w:jc w:val="center"/>
              <w:rPr>
                <w:rFonts w:hint="default" w:ascii="宋体" w:hAnsi="宋体"/>
                <w:szCs w:val="21"/>
                <w:woUserID w:val="4"/>
              </w:rPr>
            </w:pPr>
            <w:r>
              <w:rPr>
                <w:rFonts w:hint="eastAsia" w:ascii="宋体" w:hAnsi="宋体" w:eastAsia="宋体" w:cs="宋体"/>
                <w:kern w:val="2"/>
                <w:sz w:val="21"/>
                <w:szCs w:val="21"/>
                <w:lang w:val="en-US" w:eastAsia="zh-CN"/>
                <w:woUserID w:val="4"/>
              </w:rPr>
              <w:t>豆二</w:t>
            </w:r>
          </w:p>
        </w:tc>
        <w:tc>
          <w:tcPr>
            <w:tcW w:w="1254" w:type="dxa"/>
            <w:vAlign w:val="center"/>
          </w:tcPr>
          <w:p w14:paraId="152AF39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woUserID w:val="4"/>
              </w:rPr>
            </w:pPr>
            <w:r>
              <w:rPr>
                <w:rFonts w:hint="eastAsia" w:ascii="宋体" w:hAnsi="宋体" w:cs="宋体"/>
                <w:b w:val="0"/>
                <w:bCs/>
                <w:kern w:val="2"/>
                <w:sz w:val="21"/>
                <w:szCs w:val="21"/>
                <w:lang w:val="en-US" w:eastAsia="zh" w:bidi="ar"/>
                <w:woUserID w:val="4"/>
              </w:rPr>
              <w:t>宽幅</w:t>
            </w:r>
            <w:r>
              <w:rPr>
                <w:rFonts w:hint="eastAsia" w:ascii="宋体" w:hAnsi="宋体" w:eastAsia="宋体" w:cs="宋体"/>
                <w:b w:val="0"/>
                <w:bCs/>
                <w:kern w:val="2"/>
                <w:sz w:val="21"/>
                <w:szCs w:val="21"/>
                <w:lang w:val="en-US" w:eastAsia="zh-CN" w:bidi="ar"/>
                <w:woUserID w:val="4"/>
              </w:rPr>
              <w:t>震荡</w:t>
            </w:r>
          </w:p>
        </w:tc>
        <w:tc>
          <w:tcPr>
            <w:tcW w:w="6804" w:type="dxa"/>
            <w:vMerge w:val="continue"/>
            <w:shd w:val="clear" w:color="auto" w:fill="auto"/>
          </w:tcPr>
          <w:p w14:paraId="2F94AF7E">
            <w:pPr>
              <w:keepNext w:val="0"/>
              <w:keepLines w:val="0"/>
              <w:suppressLineNumbers w:val="0"/>
              <w:spacing w:before="0" w:beforeAutospacing="0" w:after="0" w:afterAutospacing="0"/>
              <w:ind w:left="0" w:leftChars="0" w:right="0" w:rightChars="0"/>
              <w:rPr>
                <w:rFonts w:hint="default" w:ascii="宋体" w:hAnsi="宋体" w:eastAsia="宋体"/>
                <w:szCs w:val="21"/>
                <w:woUserID w:val="4"/>
              </w:rPr>
            </w:pPr>
          </w:p>
        </w:tc>
      </w:tr>
      <w:tr w14:paraId="4D42A29F">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260" w:hRule="atLeast"/>
          <w:jc w:val="center"/>
        </w:trPr>
        <w:tc>
          <w:tcPr>
            <w:tcW w:w="631" w:type="dxa"/>
            <w:vMerge w:val="continue"/>
            <w:vAlign w:val="center"/>
          </w:tcPr>
          <w:p w14:paraId="3931AD70">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0A4D2AE9">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szCs w:val="21"/>
              </w:rPr>
            </w:pPr>
            <w:r>
              <w:rPr>
                <w:rFonts w:hint="eastAsia" w:ascii="宋体" w:hAnsi="宋体" w:eastAsia="宋体" w:cs="宋体"/>
                <w:kern w:val="2"/>
                <w:sz w:val="21"/>
                <w:szCs w:val="21"/>
                <w:lang w:val="en-US" w:eastAsia="zh-CN"/>
              </w:rPr>
              <w:t>豆</w:t>
            </w:r>
            <w:r>
              <w:rPr>
                <w:rFonts w:hint="eastAsia" w:ascii="宋体" w:hAnsi="宋体" w:eastAsia="宋体" w:cs="宋体"/>
                <w:kern w:val="2"/>
                <w:sz w:val="21"/>
                <w:szCs w:val="21"/>
                <w:lang w:val="en-US"/>
              </w:rPr>
              <w:t>一</w:t>
            </w:r>
          </w:p>
        </w:tc>
        <w:tc>
          <w:tcPr>
            <w:tcW w:w="1254" w:type="dxa"/>
            <w:vAlign w:val="center"/>
          </w:tcPr>
          <w:p w14:paraId="3AEF8216">
            <w:pPr>
              <w:keepNext w:val="0"/>
              <w:keepLines w:val="0"/>
              <w:widowControl w:val="0"/>
              <w:suppressLineNumbers w:val="0"/>
              <w:spacing w:before="0" w:beforeAutospacing="0" w:after="0" w:afterAutospacing="0"/>
              <w:ind w:left="0" w:right="0"/>
              <w:jc w:val="both"/>
              <w:rPr>
                <w:rFonts w:hint="eastAsia" w:ascii="宋体" w:hAnsi="宋体" w:eastAsia="宋体" w:cs="宋体"/>
                <w:color w:val="000000"/>
                <w:kern w:val="2"/>
                <w:sz w:val="21"/>
                <w:szCs w:val="21"/>
                <w:lang w:val="en-US" w:eastAsia="zh-CN" w:bidi="ar"/>
              </w:rPr>
            </w:pPr>
          </w:p>
          <w:p w14:paraId="66762B5B">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olor w:val="000000"/>
                <w:szCs w:val="21"/>
                <w:lang w:eastAsia="zh"/>
                <w:woUserID w:val="4"/>
              </w:rPr>
            </w:pPr>
            <w:r>
              <w:rPr>
                <w:rFonts w:hint="eastAsia" w:ascii="宋体" w:hAnsi="宋体" w:eastAsia="宋体" w:cs="宋体"/>
                <w:b w:val="0"/>
                <w:bCs/>
                <w:kern w:val="2"/>
                <w:sz w:val="21"/>
                <w:szCs w:val="21"/>
                <w:lang w:val="en-US" w:eastAsia="zh-CN" w:bidi="ar"/>
                <w:woUserID w:val="4"/>
              </w:rPr>
              <w:t>震荡</w:t>
            </w:r>
            <w:r>
              <w:rPr>
                <w:rFonts w:hint="eastAsia" w:ascii="宋体" w:hAnsi="宋体" w:cs="宋体"/>
                <w:b w:val="0"/>
                <w:bCs/>
                <w:kern w:val="2"/>
                <w:sz w:val="21"/>
                <w:szCs w:val="21"/>
                <w:lang w:val="en-US" w:eastAsia="zh" w:bidi="ar"/>
                <w:woUserID w:val="4"/>
              </w:rPr>
              <w:t>偏空</w:t>
            </w:r>
          </w:p>
        </w:tc>
        <w:tc>
          <w:tcPr>
            <w:tcW w:w="6804" w:type="dxa"/>
            <w:vMerge w:val="continue"/>
            <w:shd w:val="clear" w:color="auto" w:fill="auto"/>
          </w:tcPr>
          <w:p w14:paraId="6A1FB326">
            <w:pPr>
              <w:keepNext w:val="0"/>
              <w:keepLines w:val="0"/>
              <w:suppressLineNumbers w:val="0"/>
              <w:spacing w:before="0" w:beforeAutospacing="0" w:after="0" w:afterAutospacing="0"/>
              <w:ind w:left="0" w:leftChars="0" w:right="0" w:rightChars="0"/>
              <w:rPr>
                <w:rFonts w:hint="default" w:ascii="宋体" w:hAnsi="宋体" w:eastAsia="宋体"/>
                <w:szCs w:val="21"/>
              </w:rPr>
            </w:pPr>
          </w:p>
        </w:tc>
      </w:tr>
      <w:tr w14:paraId="26BDB03C">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560" w:hRule="atLeast"/>
          <w:jc w:val="center"/>
        </w:trPr>
        <w:tc>
          <w:tcPr>
            <w:tcW w:w="631" w:type="dxa"/>
            <w:vMerge w:val="restart"/>
            <w:vAlign w:val="center"/>
          </w:tcPr>
          <w:p w14:paraId="5B09BCFF">
            <w:pPr>
              <w:keepNext w:val="0"/>
              <w:keepLines w:val="0"/>
              <w:suppressLineNumbers w:val="0"/>
              <w:spacing w:before="0" w:beforeAutospacing="0" w:after="0" w:afterAutospacing="0"/>
              <w:ind w:left="0" w:right="0"/>
              <w:jc w:val="center"/>
              <w:rPr>
                <w:rFonts w:hint="default" w:ascii="宋体" w:hAnsi="宋体"/>
                <w:b/>
                <w:sz w:val="24"/>
                <w:szCs w:val="21"/>
              </w:rPr>
            </w:pPr>
            <w:r>
              <w:rPr>
                <w:rFonts w:hint="eastAsia" w:ascii="宋体" w:hAnsi="宋体"/>
                <w:b/>
                <w:sz w:val="24"/>
                <w:szCs w:val="21"/>
              </w:rPr>
              <w:t>软商品</w:t>
            </w:r>
          </w:p>
        </w:tc>
        <w:tc>
          <w:tcPr>
            <w:tcW w:w="1397" w:type="dxa"/>
            <w:vAlign w:val="center"/>
          </w:tcPr>
          <w:p w14:paraId="6F6899D1">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棉花</w:t>
            </w:r>
          </w:p>
        </w:tc>
        <w:tc>
          <w:tcPr>
            <w:tcW w:w="1254" w:type="dxa"/>
            <w:vAlign w:val="center"/>
          </w:tcPr>
          <w:p w14:paraId="7E30E1B6">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i/>
                <w:iCs/>
                <w:szCs w:val="21"/>
                <w:lang w:eastAsia="zh"/>
                <w:woUserID w:val="9"/>
              </w:rPr>
            </w:pPr>
            <w:r>
              <w:rPr>
                <w:rFonts w:hint="eastAsia" w:ascii="宋体" w:hAnsi="宋体" w:eastAsia="宋体" w:cs="宋体"/>
                <w:i w:val="0"/>
                <w:iCs w:val="0"/>
                <w:color w:val="000000"/>
                <w:kern w:val="2"/>
                <w:sz w:val="21"/>
                <w:szCs w:val="21"/>
                <w:lang w:val="en-US" w:eastAsia="zh-CN" w:bidi="ar"/>
              </w:rPr>
              <w:t>震荡</w:t>
            </w:r>
          </w:p>
        </w:tc>
        <w:tc>
          <w:tcPr>
            <w:tcW w:w="6804" w:type="dxa"/>
            <w:vMerge w:val="restart"/>
            <w:shd w:val="clear" w:color="auto" w:fill="auto"/>
          </w:tcPr>
          <w:p w14:paraId="3D313381">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lang w:val="en-US" w:eastAsia="zh-CN" w:bidi="ar"/>
                <w:woUserID w:val="6"/>
              </w:rPr>
            </w:pPr>
            <w:r>
              <w:rPr>
                <w:rFonts w:hint="eastAsia" w:ascii="宋体" w:hAnsi="宋体" w:eastAsia="宋体" w:cs="宋体"/>
                <w:b/>
                <w:bCs/>
                <w:kern w:val="2"/>
                <w:sz w:val="21"/>
                <w:szCs w:val="21"/>
                <w:lang w:val="en-US" w:eastAsia="zh-CN" w:bidi="ar"/>
              </w:rPr>
              <w:t>棉花：</w:t>
            </w:r>
            <w:r>
              <w:rPr>
                <w:rFonts w:hint="eastAsia" w:ascii="宋体" w:hAnsi="宋体" w:cs="宋体"/>
                <w:b w:val="0"/>
                <w:bCs w:val="0"/>
                <w:kern w:val="2"/>
                <w:sz w:val="21"/>
                <w:szCs w:val="21"/>
                <w:lang w:val="en-US" w:eastAsia="zh" w:bidi="ar"/>
                <w:woUserID w:val="6"/>
              </w:rPr>
              <w:t>ICE棉恢复上攻势头，郑棉则延续低位缩量盘整，在</w:t>
            </w:r>
            <w:r>
              <w:rPr>
                <w:rFonts w:hint="eastAsia" w:ascii="宋体" w:hAnsi="宋体" w:cs="宋体"/>
                <w:b w:val="0"/>
                <w:bCs w:val="0"/>
                <w:kern w:val="2"/>
                <w:sz w:val="21"/>
                <w:szCs w:val="21"/>
                <w:lang w:val="en-US" w:eastAsia="zh" w:bidi="ar"/>
                <w:woUserID w:val="6"/>
              </w:rPr>
              <w:t>本轮反弹中整体涨幅有限</w:t>
            </w:r>
            <w:r>
              <w:rPr>
                <w:rFonts w:hint="eastAsia" w:ascii="宋体" w:hAnsi="宋体" w:cs="宋体"/>
                <w:kern w:val="2"/>
                <w:sz w:val="21"/>
                <w:szCs w:val="21"/>
                <w:lang w:val="en-US" w:eastAsia="zh" w:bidi="ar"/>
                <w:woUserID w:val="6"/>
              </w:rPr>
              <w:t>，缺乏上行驱动</w:t>
            </w:r>
            <w:r>
              <w:rPr>
                <w:rFonts w:hint="eastAsia" w:ascii="宋体" w:hAnsi="宋体" w:cs="宋体"/>
                <w:b w:val="0"/>
                <w:bCs w:val="0"/>
                <w:kern w:val="2"/>
                <w:sz w:val="21"/>
                <w:szCs w:val="21"/>
                <w:lang w:val="en-US" w:eastAsia="zh" w:bidi="ar"/>
                <w:woUserID w:val="6"/>
              </w:rPr>
              <w:t>。国储棉轮出政策尚未明确，</w:t>
            </w:r>
            <w:r>
              <w:rPr>
                <w:rFonts w:hint="eastAsia" w:ascii="宋体" w:hAnsi="宋体" w:eastAsia="宋体" w:cs="宋体"/>
                <w:b w:val="0"/>
                <w:bCs w:val="0"/>
                <w:kern w:val="2"/>
                <w:sz w:val="21"/>
                <w:szCs w:val="21"/>
                <w:lang w:val="en-US" w:eastAsia="zh-CN" w:bidi="ar"/>
              </w:rPr>
              <w:t>国内市场对</w:t>
            </w:r>
            <w:r>
              <w:rPr>
                <w:rFonts w:hint="eastAsia" w:ascii="宋体" w:hAnsi="宋体" w:eastAsia="宋体" w:cs="宋体"/>
                <w:kern w:val="2"/>
                <w:sz w:val="21"/>
                <w:szCs w:val="21"/>
                <w:lang w:val="en-US" w:eastAsia="zh-CN" w:bidi="ar"/>
              </w:rPr>
              <w:t>金三银四抱有期待，但尚未得到订单数量验证，下游纺企纱线库存累库。</w:t>
            </w:r>
            <w:r>
              <w:rPr>
                <w:rFonts w:hint="eastAsia" w:ascii="宋体" w:hAnsi="宋体" w:cs="宋体"/>
                <w:kern w:val="2"/>
                <w:sz w:val="21"/>
                <w:szCs w:val="21"/>
                <w:lang w:val="en-US" w:eastAsia="zh" w:bidi="ar"/>
                <w:woUserID w:val="6"/>
              </w:rPr>
              <w:t>在</w:t>
            </w:r>
            <w:r>
              <w:rPr>
                <w:rFonts w:hint="eastAsia" w:ascii="宋体" w:hAnsi="宋体" w:eastAsia="宋体" w:cs="宋体"/>
                <w:kern w:val="2"/>
                <w:sz w:val="21"/>
                <w:szCs w:val="21"/>
                <w:lang w:val="en-US" w:eastAsia="zh-CN" w:bidi="ar"/>
                <w:woUserID w:val="6"/>
              </w:rPr>
              <w:t>外贸公司</w:t>
            </w:r>
            <w:r>
              <w:rPr>
                <w:rFonts w:hint="eastAsia" w:ascii="宋体" w:hAnsi="宋体" w:cs="宋体"/>
                <w:kern w:val="2"/>
                <w:sz w:val="21"/>
                <w:szCs w:val="21"/>
                <w:lang w:val="en-US" w:eastAsia="zh" w:bidi="ar"/>
                <w:woUserID w:val="6"/>
              </w:rPr>
              <w:t>和</w:t>
            </w:r>
            <w:r>
              <w:rPr>
                <w:rFonts w:hint="eastAsia" w:ascii="宋体" w:hAnsi="宋体" w:eastAsia="宋体" w:cs="宋体"/>
                <w:kern w:val="2"/>
                <w:sz w:val="21"/>
                <w:szCs w:val="21"/>
                <w:lang w:val="en-US" w:eastAsia="zh-CN" w:bidi="ar"/>
                <w:woUserID w:val="6"/>
              </w:rPr>
              <w:t>供货企业</w:t>
            </w:r>
            <w:r>
              <w:rPr>
                <w:rFonts w:hint="eastAsia" w:ascii="宋体" w:hAnsi="宋体" w:cs="宋体"/>
                <w:kern w:val="2"/>
                <w:sz w:val="21"/>
                <w:szCs w:val="21"/>
                <w:lang w:val="en-US" w:eastAsia="zh" w:bidi="ar"/>
                <w:woUserID w:val="6"/>
              </w:rPr>
              <w:t>消化</w:t>
            </w:r>
            <w:r>
              <w:rPr>
                <w:rFonts w:hint="eastAsia" w:ascii="宋体" w:hAnsi="宋体" w:eastAsia="宋体" w:cs="宋体"/>
                <w:kern w:val="2"/>
                <w:sz w:val="21"/>
                <w:szCs w:val="21"/>
                <w:lang w:val="en-US" w:eastAsia="zh-CN" w:bidi="ar"/>
                <w:woUserID w:val="6"/>
              </w:rPr>
              <w:t>美国2月对中国进口商品加征10%关税</w:t>
            </w:r>
            <w:r>
              <w:rPr>
                <w:rFonts w:hint="eastAsia" w:ascii="宋体" w:hAnsi="宋体" w:cs="宋体"/>
                <w:kern w:val="2"/>
                <w:sz w:val="21"/>
                <w:szCs w:val="21"/>
                <w:lang w:val="en-US" w:eastAsia="zh" w:bidi="ar"/>
                <w:woUserID w:val="6"/>
              </w:rPr>
              <w:t>后</w:t>
            </w:r>
            <w:r>
              <w:rPr>
                <w:rFonts w:hint="eastAsia" w:ascii="宋体" w:hAnsi="宋体" w:eastAsia="宋体" w:cs="宋体"/>
                <w:kern w:val="2"/>
                <w:sz w:val="21"/>
                <w:szCs w:val="21"/>
                <w:lang w:val="en-US" w:eastAsia="zh-CN" w:bidi="ar"/>
                <w:woUserID w:val="6"/>
              </w:rPr>
              <w:t>，仅过一个月，</w:t>
            </w:r>
            <w:r>
              <w:rPr>
                <w:rFonts w:hint="eastAsia" w:ascii="宋体" w:hAnsi="宋体" w:cs="宋体"/>
                <w:kern w:val="2"/>
                <w:sz w:val="21"/>
                <w:szCs w:val="21"/>
                <w:lang w:val="en-US" w:eastAsia="zh" w:bidi="ar"/>
                <w:woUserID w:val="6"/>
              </w:rPr>
              <w:t>美方</w:t>
            </w:r>
            <w:r>
              <w:rPr>
                <w:rFonts w:hint="eastAsia" w:ascii="宋体" w:hAnsi="宋体" w:eastAsia="宋体" w:cs="宋体"/>
                <w:kern w:val="2"/>
                <w:sz w:val="21"/>
                <w:szCs w:val="21"/>
                <w:lang w:val="en-US" w:eastAsia="zh-CN" w:bidi="ar"/>
                <w:woUserID w:val="6"/>
              </w:rPr>
              <w:t>再次加征10%关税，</w:t>
            </w:r>
            <w:r>
              <w:rPr>
                <w:rFonts w:hint="eastAsia" w:ascii="宋体" w:hAnsi="宋体" w:cs="宋体"/>
                <w:kern w:val="2"/>
                <w:sz w:val="21"/>
                <w:szCs w:val="21"/>
                <w:lang w:val="en-US" w:eastAsia="zh" w:bidi="ar"/>
                <w:woUserID w:val="6"/>
              </w:rPr>
              <w:t>使得</w:t>
            </w:r>
            <w:r>
              <w:rPr>
                <w:rFonts w:hint="eastAsia" w:ascii="宋体" w:hAnsi="宋体" w:eastAsia="宋体" w:cs="宋体"/>
                <w:kern w:val="2"/>
                <w:sz w:val="21"/>
                <w:szCs w:val="21"/>
                <w:lang w:val="en-US" w:eastAsia="zh-CN" w:bidi="ar"/>
                <w:woUserID w:val="6"/>
              </w:rPr>
              <w:t>已签约合同的执行难度加大</w:t>
            </w:r>
            <w:r>
              <w:rPr>
                <w:rFonts w:hint="eastAsia" w:ascii="宋体" w:hAnsi="宋体" w:cs="宋体"/>
                <w:kern w:val="2"/>
                <w:sz w:val="21"/>
                <w:szCs w:val="21"/>
                <w:lang w:val="en-US" w:eastAsia="zh" w:bidi="ar"/>
                <w:woUserID w:val="6"/>
              </w:rPr>
              <w:t>；此外，多国开始</w:t>
            </w:r>
            <w:r>
              <w:rPr>
                <w:rFonts w:hint="eastAsia" w:ascii="宋体" w:hAnsi="宋体" w:eastAsia="宋体" w:cs="宋体"/>
                <w:kern w:val="2"/>
                <w:sz w:val="21"/>
                <w:szCs w:val="21"/>
                <w:lang w:val="en-US" w:eastAsia="zh-CN" w:bidi="ar"/>
                <w:woUserID w:val="6"/>
              </w:rPr>
              <w:t>对小额跨境商品加征关税，这一势头</w:t>
            </w:r>
            <w:r>
              <w:rPr>
                <w:rFonts w:hint="eastAsia" w:ascii="宋体" w:hAnsi="宋体" w:cs="宋体"/>
                <w:kern w:val="2"/>
                <w:sz w:val="21"/>
                <w:szCs w:val="21"/>
                <w:lang w:val="en-US" w:eastAsia="zh" w:bidi="ar"/>
                <w:woUserID w:val="6"/>
              </w:rPr>
              <w:t>预计还将蔓延。USDA3月份报告对于全球产量和消费均进行了上调，期末库存略减，供需宽松局面有所收敛，与之前</w:t>
            </w:r>
            <w:r>
              <w:rPr>
                <w:rFonts w:hint="eastAsia" w:ascii="宋体" w:hAnsi="宋体" w:eastAsia="宋体" w:cs="宋体"/>
                <w:kern w:val="2"/>
                <w:sz w:val="21"/>
                <w:szCs w:val="21"/>
                <w:lang w:val="en-US" w:eastAsia="zh-CN" w:bidi="ar"/>
                <w:woUserID w:val="6"/>
              </w:rPr>
              <w:t>展望论坛关于全球棉花消费</w:t>
            </w:r>
            <w:r>
              <w:rPr>
                <w:rFonts w:hint="eastAsia" w:ascii="宋体" w:hAnsi="宋体" w:cs="宋体"/>
                <w:kern w:val="2"/>
                <w:sz w:val="21"/>
                <w:szCs w:val="21"/>
                <w:lang w:val="en-US" w:eastAsia="zh" w:bidi="ar"/>
                <w:woUserID w:val="6"/>
              </w:rPr>
              <w:t>的判断相近。</w:t>
            </w:r>
            <w:r>
              <w:rPr>
                <w:rFonts w:hint="eastAsia" w:ascii="宋体" w:hAnsi="宋体" w:eastAsia="宋体" w:cs="宋体"/>
                <w:kern w:val="2"/>
                <w:sz w:val="21"/>
                <w:szCs w:val="21"/>
                <w:lang w:val="en-US" w:eastAsia="zh-CN" w:bidi="ar"/>
                <w:woUserID w:val="6"/>
              </w:rPr>
              <w:t>预计近期市场以宏观驱动为主，呈现偏弱格局，关于新作产量、天气、墒情等热点的炒作或将延后，等待月底</w:t>
            </w:r>
            <w:r>
              <w:rPr>
                <w:rFonts w:hint="default" w:ascii="Calibri" w:hAnsi="Calibri" w:eastAsia="宋体" w:cs="Calibri"/>
                <w:kern w:val="2"/>
                <w:sz w:val="21"/>
                <w:szCs w:val="21"/>
                <w:lang w:val="en-US" w:eastAsia="zh-CN" w:bidi="ar"/>
                <w:woUserID w:val="6"/>
              </w:rPr>
              <w:t>USDA</w:t>
            </w:r>
            <w:r>
              <w:rPr>
                <w:rFonts w:hint="eastAsia" w:ascii="宋体" w:hAnsi="宋体" w:eastAsia="宋体" w:cs="宋体"/>
                <w:kern w:val="2"/>
                <w:sz w:val="21"/>
                <w:szCs w:val="21"/>
                <w:lang w:val="en-US" w:eastAsia="zh-CN" w:bidi="ar"/>
                <w:woUserID w:val="6"/>
              </w:rPr>
              <w:t>种植预测报告。</w:t>
            </w:r>
          </w:p>
          <w:p w14:paraId="779D5236">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lang w:val="en-US" w:eastAsia="zh-CN" w:bidi="ar"/>
              </w:rPr>
            </w:pPr>
            <w:r>
              <w:rPr>
                <w:rFonts w:hint="eastAsia" w:ascii="宋体" w:hAnsi="宋体" w:eastAsia="宋体" w:cs="宋体"/>
                <w:b/>
                <w:bCs/>
                <w:kern w:val="2"/>
                <w:sz w:val="21"/>
                <w:szCs w:val="21"/>
                <w:lang w:val="en-US" w:eastAsia="zh-CN" w:bidi="ar"/>
              </w:rPr>
              <w:t>橡胶：</w:t>
            </w:r>
            <w:r>
              <w:rPr>
                <w:rFonts w:hint="eastAsia" w:ascii="宋体" w:hAnsi="宋体" w:eastAsia="宋体" w:cs="宋体"/>
                <w:b w:val="0"/>
                <w:bCs w:val="0"/>
                <w:kern w:val="2"/>
                <w:sz w:val="21"/>
                <w:szCs w:val="21"/>
                <w:lang w:val="en-US" w:eastAsia="zh-CN" w:bidi="ar"/>
              </w:rPr>
              <w:t>沪胶</w:t>
            </w:r>
            <w:r>
              <w:rPr>
                <w:rFonts w:hint="eastAsia" w:ascii="宋体" w:hAnsi="宋体" w:cs="宋体"/>
                <w:b w:val="0"/>
                <w:bCs w:val="0"/>
                <w:kern w:val="2"/>
                <w:sz w:val="21"/>
                <w:szCs w:val="21"/>
                <w:lang w:val="en-US" w:eastAsia="zh" w:bidi="ar"/>
                <w:woUserID w:val="6"/>
              </w:rPr>
              <w:t>出现止跌回升迹象。</w:t>
            </w:r>
            <w:r>
              <w:rPr>
                <w:rFonts w:hint="eastAsia" w:ascii="宋体" w:hAnsi="宋体" w:eastAsia="宋体" w:cs="宋体"/>
                <w:b w:val="0"/>
                <w:bCs w:val="0"/>
                <w:kern w:val="2"/>
                <w:sz w:val="21"/>
                <w:szCs w:val="21"/>
                <w:lang w:val="en-US" w:eastAsia="zh-CN" w:bidi="ar"/>
                <w:woUserID w:val="6"/>
              </w:rPr>
              <w:t>2月CPI和PPI双双回落且不及预期，反映了当前经济面临的内需疲软和外部压力。</w:t>
            </w:r>
            <w:r>
              <w:rPr>
                <w:rFonts w:hint="eastAsia" w:ascii="宋体" w:hAnsi="宋体" w:eastAsia="宋体" w:cs="宋体"/>
                <w:b w:val="0"/>
                <w:bCs w:val="0"/>
                <w:kern w:val="2"/>
                <w:sz w:val="21"/>
                <w:szCs w:val="21"/>
                <w:lang w:val="en-US" w:eastAsia="zh-CN" w:bidi="ar"/>
              </w:rPr>
              <w:t>天然橡胶生产国协会预计，今年全球橡胶产量将增长</w:t>
            </w:r>
            <w:r>
              <w:rPr>
                <w:rFonts w:hint="default" w:ascii="Calibri" w:hAnsi="Calibri" w:eastAsia="宋体" w:cs="Calibri"/>
                <w:b w:val="0"/>
                <w:bCs w:val="0"/>
                <w:kern w:val="2"/>
                <w:sz w:val="21"/>
                <w:szCs w:val="21"/>
                <w:lang w:val="en-US" w:eastAsia="zh-CN" w:bidi="ar"/>
              </w:rPr>
              <w:t>0.3%</w:t>
            </w:r>
            <w:r>
              <w:rPr>
                <w:rFonts w:hint="eastAsia" w:ascii="宋体" w:hAnsi="宋体" w:eastAsia="宋体" w:cs="宋体"/>
                <w:b w:val="0"/>
                <w:bCs w:val="0"/>
                <w:kern w:val="2"/>
                <w:sz w:val="21"/>
                <w:szCs w:val="21"/>
                <w:lang w:val="en-US" w:eastAsia="zh-CN" w:bidi="ar"/>
              </w:rPr>
              <w:t>至</w:t>
            </w:r>
            <w:r>
              <w:rPr>
                <w:rFonts w:hint="default" w:ascii="Calibri" w:hAnsi="Calibri" w:eastAsia="宋体" w:cs="Calibri"/>
                <w:b w:val="0"/>
                <w:bCs w:val="0"/>
                <w:kern w:val="2"/>
                <w:sz w:val="21"/>
                <w:szCs w:val="21"/>
                <w:lang w:val="en-US" w:eastAsia="zh-CN" w:bidi="ar"/>
              </w:rPr>
              <w:t>1490</w:t>
            </w:r>
            <w:r>
              <w:rPr>
                <w:rFonts w:hint="eastAsia" w:ascii="宋体" w:hAnsi="宋体" w:eastAsia="宋体" w:cs="宋体"/>
                <w:b w:val="0"/>
                <w:bCs w:val="0"/>
                <w:kern w:val="2"/>
                <w:sz w:val="21"/>
                <w:szCs w:val="21"/>
                <w:lang w:val="en-US" w:eastAsia="zh-CN" w:bidi="ar"/>
              </w:rPr>
              <w:t>万吨，而需求量则将以更快的速度增长</w:t>
            </w:r>
            <w:r>
              <w:rPr>
                <w:rFonts w:hint="default" w:ascii="Calibri" w:hAnsi="Calibri" w:eastAsia="宋体" w:cs="Calibri"/>
                <w:b w:val="0"/>
                <w:bCs w:val="0"/>
                <w:kern w:val="2"/>
                <w:sz w:val="21"/>
                <w:szCs w:val="21"/>
                <w:lang w:val="en-US" w:eastAsia="zh-CN" w:bidi="ar"/>
              </w:rPr>
              <w:t>1.8%</w:t>
            </w:r>
            <w:r>
              <w:rPr>
                <w:rFonts w:hint="eastAsia" w:ascii="宋体" w:hAnsi="宋体" w:eastAsia="宋体" w:cs="宋体"/>
                <w:b w:val="0"/>
                <w:bCs w:val="0"/>
                <w:kern w:val="2"/>
                <w:sz w:val="21"/>
                <w:szCs w:val="21"/>
                <w:lang w:val="en-US" w:eastAsia="zh-CN" w:bidi="ar"/>
              </w:rPr>
              <w:t>，至</w:t>
            </w:r>
            <w:r>
              <w:rPr>
                <w:rFonts w:hint="default" w:ascii="Calibri" w:hAnsi="Calibri" w:eastAsia="宋体" w:cs="Calibri"/>
                <w:b w:val="0"/>
                <w:bCs w:val="0"/>
                <w:kern w:val="2"/>
                <w:sz w:val="21"/>
                <w:szCs w:val="21"/>
                <w:lang w:val="en-US" w:eastAsia="zh-CN" w:bidi="ar"/>
              </w:rPr>
              <w:t>1560</w:t>
            </w:r>
            <w:r>
              <w:rPr>
                <w:rFonts w:hint="eastAsia" w:ascii="宋体" w:hAnsi="宋体" w:eastAsia="宋体" w:cs="宋体"/>
                <w:b w:val="0"/>
                <w:bCs w:val="0"/>
                <w:kern w:val="2"/>
                <w:sz w:val="21"/>
                <w:szCs w:val="21"/>
                <w:lang w:val="en-US" w:eastAsia="zh-CN" w:bidi="ar"/>
              </w:rPr>
              <w:t>万吨，连续第五年供不应求。每年</w:t>
            </w:r>
            <w:r>
              <w:rPr>
                <w:rFonts w:hint="default" w:ascii="Calibri" w:hAnsi="Calibri" w:eastAsia="宋体" w:cs="Calibri"/>
                <w:b w:val="0"/>
                <w:bCs w:val="0"/>
                <w:kern w:val="2"/>
                <w:sz w:val="21"/>
                <w:szCs w:val="21"/>
                <w:lang w:val="en-US" w:eastAsia="zh-CN" w:bidi="ar"/>
              </w:rPr>
              <w:t>2-4</w:t>
            </w:r>
            <w:r>
              <w:rPr>
                <w:rFonts w:hint="eastAsia" w:ascii="宋体" w:hAnsi="宋体" w:eastAsia="宋体" w:cs="宋体"/>
                <w:b w:val="0"/>
                <w:bCs w:val="0"/>
                <w:kern w:val="2"/>
                <w:sz w:val="21"/>
                <w:szCs w:val="21"/>
                <w:lang w:val="en-US" w:eastAsia="zh-CN" w:bidi="ar"/>
              </w:rPr>
              <w:t>月，是全球橡胶产量的低谷期；相对应的，国内轮企开工率保持高于往年的水平，下游方面仍然呈现逐步恢复的趋势，备货需求增加。当前行情的压制则主要来自</w:t>
            </w:r>
            <w:r>
              <w:rPr>
                <w:rFonts w:hint="eastAsia" w:ascii="宋体" w:hAnsi="宋体" w:cs="宋体"/>
                <w:b w:val="0"/>
                <w:bCs w:val="0"/>
                <w:kern w:val="2"/>
                <w:sz w:val="21"/>
                <w:szCs w:val="21"/>
                <w:lang w:val="en-US" w:eastAsia="zh" w:bidi="ar"/>
                <w:woUserID w:val="6"/>
              </w:rPr>
              <w:t>对中旬集中到港、加深累库的担忧</w:t>
            </w:r>
            <w:r>
              <w:rPr>
                <w:rFonts w:hint="eastAsia" w:ascii="宋体" w:hAnsi="宋体" w:eastAsia="宋体" w:cs="宋体"/>
                <w:b w:val="0"/>
                <w:bCs w:val="0"/>
                <w:kern w:val="2"/>
                <w:sz w:val="21"/>
                <w:szCs w:val="21"/>
                <w:lang w:val="en-US" w:eastAsia="zh-CN" w:bidi="ar"/>
              </w:rPr>
              <w:t>，</w:t>
            </w:r>
            <w:r>
              <w:rPr>
                <w:rFonts w:hint="eastAsia" w:ascii="宋体" w:hAnsi="宋体" w:eastAsia="宋体" w:cs="宋体"/>
                <w:b w:val="0"/>
                <w:bCs w:val="0"/>
                <w:kern w:val="2"/>
                <w:sz w:val="21"/>
                <w:szCs w:val="21"/>
                <w:lang w:val="en-US" w:eastAsia="zh-CN" w:bidi="ar"/>
                <w:woUserID w:val="6"/>
              </w:rPr>
              <w:t>年初以来的整体需求表现一般，</w:t>
            </w:r>
            <w:r>
              <w:rPr>
                <w:rFonts w:hint="eastAsia" w:ascii="宋体" w:hAnsi="宋体" w:eastAsia="宋体" w:cs="宋体"/>
                <w:b w:val="0"/>
                <w:bCs w:val="0"/>
                <w:kern w:val="2"/>
                <w:sz w:val="21"/>
                <w:szCs w:val="21"/>
                <w:lang w:val="en-US" w:eastAsia="zh-CN" w:bidi="ar"/>
              </w:rPr>
              <w:t>但</w:t>
            </w:r>
            <w:r>
              <w:rPr>
                <w:rFonts w:hint="eastAsia" w:ascii="宋体" w:hAnsi="宋体" w:cs="宋体"/>
                <w:b w:val="0"/>
                <w:bCs w:val="0"/>
                <w:kern w:val="2"/>
                <w:sz w:val="21"/>
                <w:szCs w:val="21"/>
                <w:lang w:val="en-US" w:eastAsia="zh" w:bidi="ar"/>
                <w:woUserID w:val="6"/>
              </w:rPr>
              <w:t>这些</w:t>
            </w:r>
            <w:r>
              <w:rPr>
                <w:rFonts w:hint="eastAsia" w:ascii="宋体" w:hAnsi="宋体" w:eastAsia="宋体" w:cs="宋体"/>
                <w:b w:val="0"/>
                <w:bCs w:val="0"/>
                <w:kern w:val="2"/>
                <w:sz w:val="21"/>
                <w:szCs w:val="21"/>
                <w:lang w:val="en-US" w:eastAsia="zh-CN" w:bidi="ar"/>
              </w:rPr>
              <w:t>在未来一段时间里随着下游消费提升，很可能发生改变，</w:t>
            </w:r>
            <w:r>
              <w:rPr>
                <w:rFonts w:hint="eastAsia" w:ascii="宋体" w:hAnsi="宋体" w:cs="宋体"/>
                <w:b w:val="0"/>
                <w:bCs w:val="0"/>
                <w:kern w:val="2"/>
                <w:sz w:val="21"/>
                <w:szCs w:val="21"/>
                <w:lang w:val="en-US" w:eastAsia="zh" w:bidi="ar"/>
                <w:woUserID w:val="6"/>
              </w:rPr>
              <w:t>低产季叠加高成本支撑，有助于胶价保持强势</w:t>
            </w:r>
            <w:r>
              <w:rPr>
                <w:rFonts w:hint="eastAsia" w:ascii="宋体" w:hAnsi="宋体" w:eastAsia="宋体" w:cs="宋体"/>
                <w:b w:val="0"/>
                <w:bCs w:val="0"/>
                <w:kern w:val="2"/>
                <w:sz w:val="21"/>
                <w:szCs w:val="21"/>
                <w:lang w:val="en-US" w:eastAsia="zh-CN" w:bidi="ar"/>
              </w:rPr>
              <w:t>。</w:t>
            </w:r>
          </w:p>
          <w:p w14:paraId="56C0304D">
            <w:pPr>
              <w:keepNext w:val="0"/>
              <w:keepLines w:val="0"/>
              <w:widowControl w:val="0"/>
              <w:suppressLineNumbers w:val="0"/>
              <w:spacing w:before="0" w:beforeAutospacing="0" w:after="0" w:afterAutospacing="0"/>
              <w:ind w:left="0" w:right="0"/>
              <w:jc w:val="both"/>
              <w:rPr>
                <w:rFonts w:hint="eastAsia" w:ascii="宋体" w:hAnsi="宋体" w:cs="宋体"/>
                <w:b w:val="0"/>
                <w:bCs w:val="0"/>
                <w:kern w:val="2"/>
                <w:sz w:val="21"/>
                <w:szCs w:val="21"/>
                <w:lang w:val="en-US" w:eastAsia="zh" w:bidi="ar"/>
                <w:woUserID w:val="6"/>
              </w:rPr>
            </w:pPr>
            <w:r>
              <w:rPr>
                <w:rFonts w:hint="eastAsia" w:ascii="宋体" w:hAnsi="宋体" w:eastAsia="宋体" w:cs="宋体"/>
                <w:b/>
                <w:bCs/>
                <w:kern w:val="2"/>
                <w:sz w:val="21"/>
                <w:szCs w:val="21"/>
                <w:lang w:val="en-US" w:eastAsia="zh-CN" w:bidi="ar"/>
              </w:rPr>
              <w:t>糖：</w:t>
            </w:r>
            <w:r>
              <w:rPr>
                <w:rFonts w:hint="eastAsia" w:ascii="宋体" w:hAnsi="宋体" w:cs="宋体"/>
                <w:b w:val="0"/>
                <w:bCs w:val="0"/>
                <w:kern w:val="2"/>
                <w:sz w:val="21"/>
                <w:szCs w:val="21"/>
                <w:lang w:val="en-US" w:eastAsia="zh" w:bidi="ar"/>
                <w:woUserID w:val="6"/>
              </w:rPr>
              <w:t>内外盘糖价保持着触底反弹走势。对2024/25年印度糖市的最新预估：食糖产量预计为2580万吨，同比下降 19.1%；消费量预计为 2900 万吨，八年来首次低于消费量，未来能否在国际市场销售受到质疑。</w:t>
            </w:r>
            <w:r>
              <w:rPr>
                <w:rFonts w:hint="eastAsia" w:ascii="宋体" w:hAnsi="宋体" w:eastAsia="宋体" w:cs="宋体"/>
                <w:b w:val="0"/>
                <w:bCs w:val="0"/>
                <w:kern w:val="2"/>
                <w:sz w:val="21"/>
                <w:szCs w:val="21"/>
                <w:lang w:val="en-US" w:eastAsia="zh-CN" w:bidi="ar"/>
                <w:woUserID w:val="6"/>
              </w:rPr>
              <w:t>国内进入消费淡季，糖厂正处于压榨高峰期，全国工业库存处于历史高位</w:t>
            </w:r>
            <w:r>
              <w:rPr>
                <w:rFonts w:hint="eastAsia" w:ascii="宋体" w:hAnsi="宋体" w:cs="宋体"/>
                <w:b w:val="0"/>
                <w:bCs w:val="0"/>
                <w:kern w:val="2"/>
                <w:sz w:val="21"/>
                <w:szCs w:val="21"/>
                <w:lang w:val="en-US" w:eastAsia="zh" w:bidi="ar"/>
                <w:woUserID w:val="6"/>
              </w:rPr>
              <w:t>，达到</w:t>
            </w:r>
            <w:r>
              <w:rPr>
                <w:rFonts w:hint="eastAsia" w:ascii="宋体" w:hAnsi="宋体" w:eastAsia="宋体" w:cs="宋体"/>
                <w:b w:val="0"/>
                <w:bCs w:val="0"/>
                <w:kern w:val="2"/>
                <w:sz w:val="21"/>
                <w:szCs w:val="21"/>
                <w:lang w:val="en-US" w:eastAsia="zh-CN" w:bidi="ar"/>
                <w:woUserID w:val="6"/>
              </w:rPr>
              <w:t>496.45万吨，同比增加19.06%。虽然产量同比明显增加，但今年国产糖销售节奏较快，销糖率48.9%，同比增加1.36个百分点</w:t>
            </w:r>
            <w:r>
              <w:rPr>
                <w:rFonts w:hint="eastAsia" w:ascii="宋体" w:hAnsi="宋体" w:cs="宋体"/>
                <w:b w:val="0"/>
                <w:bCs w:val="0"/>
                <w:kern w:val="2"/>
                <w:sz w:val="21"/>
                <w:szCs w:val="21"/>
                <w:lang w:val="en-US" w:eastAsia="zh" w:bidi="ar"/>
                <w:woUserID w:val="6"/>
              </w:rPr>
              <w:t>，现货价格有所上调。短期郑糖有进一步走高空间，最大的不确定性来自泰国糖浆进口是否重新开放。</w:t>
            </w:r>
          </w:p>
        </w:tc>
      </w:tr>
      <w:tr w14:paraId="3F041CBC">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220" w:hRule="atLeast"/>
          <w:jc w:val="center"/>
        </w:trPr>
        <w:tc>
          <w:tcPr>
            <w:tcW w:w="631" w:type="dxa"/>
            <w:vMerge w:val="continue"/>
            <w:vAlign w:val="center"/>
          </w:tcPr>
          <w:p w14:paraId="78F0FF54">
            <w:pPr>
              <w:keepNext w:val="0"/>
              <w:keepLines w:val="0"/>
              <w:suppressLineNumbers w:val="0"/>
              <w:spacing w:before="0" w:beforeAutospacing="0" w:after="0" w:afterAutospacing="0"/>
              <w:ind w:left="0" w:right="0"/>
              <w:jc w:val="center"/>
              <w:rPr>
                <w:rFonts w:hint="eastAsia" w:ascii="宋体" w:hAnsi="宋体" w:eastAsia="宋体"/>
                <w:b/>
                <w:sz w:val="24"/>
                <w:szCs w:val="21"/>
              </w:rPr>
            </w:pPr>
            <w:r>
              <w:rPr>
                <w:rFonts w:hint="eastAsia" w:ascii="宋体" w:hAnsi="宋体"/>
                <w:b/>
                <w:sz w:val="24"/>
                <w:szCs w:val="21"/>
              </w:rPr>
              <w:t>，</w:t>
            </w:r>
          </w:p>
        </w:tc>
        <w:tc>
          <w:tcPr>
            <w:tcW w:w="1397" w:type="dxa"/>
            <w:vAlign w:val="center"/>
          </w:tcPr>
          <w:p w14:paraId="2FF3E460">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cs="宋体"/>
                <w:szCs w:val="21"/>
              </w:rPr>
              <w:t>棉纱</w:t>
            </w:r>
          </w:p>
        </w:tc>
        <w:tc>
          <w:tcPr>
            <w:tcW w:w="1254" w:type="dxa"/>
            <w:vAlign w:val="center"/>
          </w:tcPr>
          <w:p w14:paraId="588ACC03">
            <w:pPr>
              <w:keepNext w:val="0"/>
              <w:keepLines w:val="0"/>
              <w:widowControl w:val="0"/>
              <w:suppressLineNumbers w:val="0"/>
              <w:spacing w:before="0" w:beforeAutospacing="0" w:after="0" w:afterAutospacing="0"/>
              <w:ind w:left="0" w:leftChars="0" w:right="0" w:rightChars="0"/>
              <w:jc w:val="center"/>
              <w:rPr>
                <w:rFonts w:hint="default" w:ascii="宋体" w:hAnsi="宋体"/>
                <w:i/>
                <w:iCs/>
                <w:szCs w:val="21"/>
              </w:rPr>
            </w:pPr>
            <w:r>
              <w:rPr>
                <w:rFonts w:hint="eastAsia" w:ascii="宋体" w:hAnsi="宋体" w:eastAsia="宋体" w:cs="宋体"/>
                <w:i w:val="0"/>
                <w:iCs w:val="0"/>
                <w:color w:val="000000"/>
                <w:kern w:val="2"/>
                <w:sz w:val="21"/>
                <w:szCs w:val="21"/>
                <w:lang w:val="en-US" w:eastAsia="zh-CN" w:bidi="ar"/>
              </w:rPr>
              <w:t>震荡</w:t>
            </w:r>
            <w:r>
              <w:rPr>
                <w:rFonts w:hint="default" w:ascii="Times New Roman" w:hAnsi="Times New Roman" w:eastAsia="宋体" w:cs="Times New Roman"/>
                <w:kern w:val="2"/>
                <w:sz w:val="21"/>
                <w:szCs w:val="21"/>
                <w:lang w:val="en-US" w:eastAsia="zh-CN" w:bidi="ar"/>
              </w:rPr>
              <w:t xml:space="preserve"> </w:t>
            </w:r>
          </w:p>
        </w:tc>
        <w:tc>
          <w:tcPr>
            <w:tcW w:w="6804" w:type="dxa"/>
            <w:vMerge w:val="continue"/>
            <w:shd w:val="clear" w:color="auto" w:fill="auto"/>
            <w:vAlign w:val="center"/>
          </w:tcPr>
          <w:p w14:paraId="6E01E783">
            <w:pPr>
              <w:keepNext w:val="0"/>
              <w:keepLines w:val="0"/>
              <w:widowControl/>
              <w:suppressLineNumbers w:val="0"/>
              <w:spacing w:before="0" w:beforeAutospacing="0" w:after="0" w:afterAutospacing="0"/>
              <w:ind w:left="0" w:right="0"/>
              <w:jc w:val="left"/>
              <w:rPr>
                <w:rFonts w:hint="default"/>
                <w:szCs w:val="20"/>
              </w:rPr>
            </w:pPr>
          </w:p>
        </w:tc>
      </w:tr>
      <w:tr w14:paraId="1CC3945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080" w:hRule="atLeast"/>
          <w:jc w:val="center"/>
        </w:trPr>
        <w:tc>
          <w:tcPr>
            <w:tcW w:w="631" w:type="dxa"/>
            <w:vMerge w:val="continue"/>
            <w:vAlign w:val="center"/>
          </w:tcPr>
          <w:p w14:paraId="17FA5F92">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71E24751">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cs="宋体"/>
                <w:szCs w:val="21"/>
              </w:rPr>
              <w:t>红枣</w:t>
            </w:r>
          </w:p>
        </w:tc>
        <w:tc>
          <w:tcPr>
            <w:tcW w:w="1254" w:type="dxa"/>
            <w:vAlign w:val="center"/>
          </w:tcPr>
          <w:p w14:paraId="1CA79365">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iCs/>
                <w:color w:val="000000"/>
                <w:szCs w:val="21"/>
                <w:lang w:val="en-US"/>
              </w:rPr>
            </w:pPr>
            <w:r>
              <w:rPr>
                <w:rFonts w:hint="eastAsia" w:ascii="宋体" w:hAnsi="宋体" w:eastAsia="宋体" w:cs="宋体"/>
                <w:i w:val="0"/>
                <w:iCs w:val="0"/>
                <w:color w:val="000000"/>
                <w:kern w:val="2"/>
                <w:sz w:val="21"/>
                <w:szCs w:val="21"/>
                <w:lang w:val="en-US" w:eastAsia="zh-CN" w:bidi="ar"/>
              </w:rPr>
              <w:t>偏弱</w:t>
            </w:r>
          </w:p>
        </w:tc>
        <w:tc>
          <w:tcPr>
            <w:tcW w:w="6804" w:type="dxa"/>
            <w:vMerge w:val="continue"/>
            <w:shd w:val="clear" w:color="auto" w:fill="auto"/>
            <w:vAlign w:val="center"/>
          </w:tcPr>
          <w:p w14:paraId="5F7AC7A2">
            <w:pPr>
              <w:keepNext w:val="0"/>
              <w:keepLines w:val="0"/>
              <w:widowControl/>
              <w:suppressLineNumbers w:val="0"/>
              <w:spacing w:before="0" w:beforeAutospacing="0" w:after="0" w:afterAutospacing="0"/>
              <w:ind w:left="0" w:right="0"/>
              <w:jc w:val="left"/>
              <w:rPr>
                <w:rFonts w:hint="default"/>
                <w:szCs w:val="20"/>
              </w:rPr>
            </w:pPr>
          </w:p>
        </w:tc>
      </w:tr>
      <w:tr w14:paraId="159B2E40">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140" w:hRule="atLeast"/>
          <w:jc w:val="center"/>
        </w:trPr>
        <w:tc>
          <w:tcPr>
            <w:tcW w:w="631" w:type="dxa"/>
            <w:vMerge w:val="continue"/>
            <w:vAlign w:val="center"/>
          </w:tcPr>
          <w:p w14:paraId="267D8C4C">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497286E4">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cs="宋体"/>
                <w:szCs w:val="21"/>
              </w:rPr>
              <w:t>橡胶</w:t>
            </w:r>
          </w:p>
        </w:tc>
        <w:tc>
          <w:tcPr>
            <w:tcW w:w="1254" w:type="dxa"/>
            <w:vAlign w:val="center"/>
          </w:tcPr>
          <w:p w14:paraId="1BCA3DAC">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iCs/>
                <w:color w:val="000000"/>
                <w:szCs w:val="21"/>
                <w:lang w:eastAsia="zh"/>
                <w:woUserID w:val="6"/>
              </w:rPr>
            </w:pPr>
            <w:r>
              <w:rPr>
                <w:rFonts w:hint="eastAsia" w:ascii="宋体" w:hAnsi="宋体" w:cs="宋体"/>
                <w:i w:val="0"/>
                <w:iCs w:val="0"/>
                <w:color w:val="000000"/>
                <w:szCs w:val="21"/>
                <w:lang w:eastAsia="zh"/>
                <w:woUserID w:val="6"/>
              </w:rPr>
              <w:t>反弹</w:t>
            </w:r>
          </w:p>
        </w:tc>
        <w:tc>
          <w:tcPr>
            <w:tcW w:w="6804" w:type="dxa"/>
            <w:vMerge w:val="continue"/>
            <w:shd w:val="clear" w:color="auto" w:fill="auto"/>
          </w:tcPr>
          <w:p w14:paraId="23C73ABB">
            <w:pPr>
              <w:keepNext w:val="0"/>
              <w:keepLines w:val="0"/>
              <w:suppressLineNumbers w:val="0"/>
              <w:spacing w:before="0" w:beforeAutospacing="0" w:after="0" w:afterAutospacing="0"/>
              <w:ind w:left="0" w:right="0"/>
              <w:rPr>
                <w:rFonts w:hint="default"/>
                <w:szCs w:val="20"/>
              </w:rPr>
            </w:pPr>
          </w:p>
        </w:tc>
      </w:tr>
      <w:tr w14:paraId="6529419A">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320" w:hRule="atLeast"/>
          <w:jc w:val="center"/>
        </w:trPr>
        <w:tc>
          <w:tcPr>
            <w:tcW w:w="631" w:type="dxa"/>
            <w:vMerge w:val="continue"/>
            <w:vAlign w:val="center"/>
          </w:tcPr>
          <w:p w14:paraId="71A706F7">
            <w:pPr>
              <w:keepNext w:val="0"/>
              <w:keepLines w:val="0"/>
              <w:suppressLineNumbers w:val="0"/>
              <w:spacing w:before="0" w:beforeAutospacing="0" w:after="0" w:afterAutospacing="0"/>
              <w:ind w:left="0" w:right="0"/>
              <w:jc w:val="center"/>
              <w:rPr>
                <w:rFonts w:hint="default" w:ascii="宋体" w:hAnsi="宋体"/>
                <w:b/>
                <w:sz w:val="24"/>
                <w:szCs w:val="21"/>
              </w:rPr>
            </w:pPr>
          </w:p>
        </w:tc>
        <w:tc>
          <w:tcPr>
            <w:tcW w:w="1397" w:type="dxa"/>
            <w:vAlign w:val="center"/>
          </w:tcPr>
          <w:p w14:paraId="7DBA9081">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cs="宋体"/>
                <w:szCs w:val="21"/>
              </w:rPr>
              <w:t>白糖</w:t>
            </w:r>
          </w:p>
        </w:tc>
        <w:tc>
          <w:tcPr>
            <w:tcW w:w="1254" w:type="dxa"/>
            <w:vAlign w:val="center"/>
          </w:tcPr>
          <w:p w14:paraId="71F38148">
            <w:pPr>
              <w:keepNext w:val="0"/>
              <w:keepLines w:val="0"/>
              <w:widowControl w:val="0"/>
              <w:suppressLineNumbers w:val="0"/>
              <w:spacing w:before="0" w:beforeAutospacing="0" w:after="0" w:afterAutospacing="0"/>
              <w:ind w:left="0" w:leftChars="0" w:right="0" w:rightChars="0"/>
              <w:jc w:val="center"/>
              <w:rPr>
                <w:rFonts w:hint="eastAsia" w:ascii="宋体" w:hAnsi="宋体" w:eastAsia="宋体" w:cs="宋体"/>
                <w:i/>
                <w:iCs/>
                <w:color w:val="000000"/>
                <w:szCs w:val="21"/>
                <w:lang w:eastAsia="zh"/>
                <w:woUserID w:val="6"/>
              </w:rPr>
            </w:pPr>
            <w:r>
              <w:rPr>
                <w:rFonts w:hint="eastAsia" w:ascii="宋体" w:hAnsi="宋体" w:cs="宋体"/>
                <w:i w:val="0"/>
                <w:iCs w:val="0"/>
                <w:color w:val="000000"/>
                <w:szCs w:val="21"/>
                <w:lang w:eastAsia="zh"/>
                <w:woUserID w:val="6"/>
              </w:rPr>
              <w:t>反弹</w:t>
            </w:r>
          </w:p>
        </w:tc>
        <w:tc>
          <w:tcPr>
            <w:tcW w:w="6804" w:type="dxa"/>
            <w:vMerge w:val="continue"/>
            <w:shd w:val="clear" w:color="auto" w:fill="auto"/>
          </w:tcPr>
          <w:p w14:paraId="3A601F67">
            <w:pPr>
              <w:keepNext w:val="0"/>
              <w:keepLines w:val="0"/>
              <w:suppressLineNumbers w:val="0"/>
              <w:spacing w:before="0" w:beforeAutospacing="0" w:after="0" w:afterAutospacing="0"/>
              <w:ind w:left="0" w:right="0"/>
              <w:rPr>
                <w:rFonts w:hint="default"/>
                <w:szCs w:val="20"/>
              </w:rPr>
            </w:pPr>
          </w:p>
        </w:tc>
      </w:tr>
      <w:tr w14:paraId="11E4C0EB">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885" w:hRule="atLeast"/>
          <w:jc w:val="center"/>
        </w:trPr>
        <w:tc>
          <w:tcPr>
            <w:tcW w:w="631" w:type="dxa"/>
            <w:vMerge w:val="restart"/>
            <w:vAlign w:val="center"/>
          </w:tcPr>
          <w:p w14:paraId="6B4C7148">
            <w:pPr>
              <w:keepNext w:val="0"/>
              <w:keepLines w:val="0"/>
              <w:suppressLineNumbers w:val="0"/>
              <w:spacing w:before="0" w:beforeAutospacing="0" w:after="0" w:afterAutospacing="0"/>
              <w:ind w:left="0" w:right="0"/>
              <w:jc w:val="center"/>
              <w:rPr>
                <w:rFonts w:hint="eastAsia" w:ascii="宋体" w:hAnsi="宋体" w:eastAsia="宋体" w:cs="宋体"/>
                <w:szCs w:val="21"/>
                <w:lang w:val="en-US" w:eastAsia="zh-CN"/>
              </w:rPr>
            </w:pPr>
            <w:r>
              <w:rPr>
                <w:rFonts w:hint="eastAsia" w:ascii="宋体" w:hAnsi="宋体"/>
                <w:b/>
                <w:sz w:val="24"/>
                <w:szCs w:val="21"/>
                <w:lang w:val="en-US" w:eastAsia="zh-CN"/>
              </w:rPr>
              <w:t>轻工</w:t>
            </w:r>
          </w:p>
        </w:tc>
        <w:tc>
          <w:tcPr>
            <w:tcW w:w="1397" w:type="dxa"/>
            <w:vAlign w:val="center"/>
          </w:tcPr>
          <w:p w14:paraId="3EFFD94D">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szCs w:val="21"/>
              </w:rPr>
              <w:t>纸浆</w:t>
            </w:r>
          </w:p>
        </w:tc>
        <w:tc>
          <w:tcPr>
            <w:tcW w:w="1254" w:type="dxa"/>
            <w:vAlign w:val="center"/>
          </w:tcPr>
          <w:p w14:paraId="20A92724">
            <w:pPr>
              <w:keepNext w:val="0"/>
              <w:keepLines w:val="0"/>
              <w:suppressLineNumbers w:val="0"/>
              <w:spacing w:before="0" w:beforeAutospacing="0" w:after="0" w:afterAutospacing="0"/>
              <w:ind w:left="0" w:leftChars="0" w:right="0" w:rightChars="0"/>
              <w:jc w:val="center"/>
              <w:rPr>
                <w:rFonts w:hint="eastAsia" w:ascii="宋体" w:hAnsi="宋体" w:cs="宋体"/>
                <w:i w:val="0"/>
                <w:iCs w:val="0"/>
                <w:color w:val="000000"/>
                <w:szCs w:val="21"/>
              </w:rPr>
            </w:pPr>
            <w:r>
              <w:rPr>
                <w:rFonts w:hint="eastAsia" w:ascii="宋体" w:hAnsi="宋体" w:cs="宋体"/>
                <w:szCs w:val="21"/>
              </w:rPr>
              <w:t>偏弱震荡</w:t>
            </w:r>
          </w:p>
        </w:tc>
        <w:tc>
          <w:tcPr>
            <w:tcW w:w="6804" w:type="dxa"/>
            <w:vMerge w:val="restart"/>
            <w:shd w:val="clear" w:color="auto" w:fill="auto"/>
            <w:vAlign w:val="top"/>
          </w:tcPr>
          <w:p w14:paraId="2A13185C">
            <w:pPr>
              <w:keepNext w:val="0"/>
              <w:keepLines w:val="0"/>
              <w:widowControl w:val="0"/>
              <w:suppressLineNumbers w:val="0"/>
              <w:spacing w:before="0" w:beforeAutospacing="0" w:after="0" w:afterAutospacing="0"/>
              <w:ind w:left="0" w:right="0"/>
              <w:jc w:val="both"/>
              <w:rPr>
                <w:rFonts w:hint="eastAsia" w:ascii="宋体" w:hAnsi="宋体" w:eastAsia="宋体" w:cs="宋体"/>
                <w:kern w:val="2"/>
                <w:sz w:val="21"/>
                <w:szCs w:val="21"/>
              </w:rPr>
            </w:pPr>
            <w:r>
              <w:rPr>
                <w:rFonts w:hint="eastAsia" w:ascii="宋体" w:hAnsi="宋体" w:eastAsia="宋体" w:cs="宋体"/>
                <w:b/>
                <w:bCs/>
                <w:kern w:val="2"/>
                <w:sz w:val="21"/>
                <w:szCs w:val="21"/>
                <w:lang w:val="en-US" w:eastAsia="zh-CN" w:bidi="ar"/>
              </w:rPr>
              <w:t>纸浆</w:t>
            </w:r>
            <w:r>
              <w:rPr>
                <w:rFonts w:hint="eastAsia" w:ascii="宋体" w:hAnsi="宋体" w:eastAsia="宋体" w:cs="宋体"/>
                <w:kern w:val="2"/>
                <w:sz w:val="21"/>
                <w:szCs w:val="21"/>
                <w:lang w:val="en-US" w:eastAsia="zh-CN" w:bidi="ar"/>
              </w:rPr>
              <w:t>：上一工作日现货市场价格</w:t>
            </w:r>
            <w:r>
              <w:rPr>
                <w:rFonts w:hint="eastAsia" w:ascii="宋体" w:hAnsi="宋体" w:cs="宋体"/>
                <w:kern w:val="2"/>
                <w:sz w:val="21"/>
                <w:szCs w:val="21"/>
                <w:lang w:val="en-US" w:eastAsia="zh" w:bidi="ar"/>
                <w:woUserID w:val="5"/>
              </w:rPr>
              <w:t>偏稳运行</w:t>
            </w:r>
            <w:r>
              <w:rPr>
                <w:rFonts w:hint="eastAsia" w:ascii="宋体" w:hAnsi="宋体" w:eastAsia="宋体" w:cs="宋体"/>
                <w:kern w:val="2"/>
                <w:sz w:val="21"/>
                <w:szCs w:val="21"/>
                <w:lang w:val="en-US" w:eastAsia="zh-CN" w:bidi="ar"/>
              </w:rPr>
              <w:t>。针叶浆外盘价上涨10美元至825美元/吨，阔叶浆外盘价上涨20美元至610美元/吨，成本强势支撑浆价。造纸行业盈利水平有所改善但仍偏低，纸厂对高价浆接受度不高，刚需采买原料，需求放量</w:t>
            </w:r>
            <w:r>
              <w:rPr>
                <w:rFonts w:hint="eastAsia" w:ascii="宋体" w:hAnsi="宋体" w:cs="宋体"/>
                <w:kern w:val="2"/>
                <w:sz w:val="21"/>
                <w:szCs w:val="21"/>
                <w:lang w:val="en-US" w:eastAsia="zh" w:bidi="ar"/>
                <w:woUserID w:val="5"/>
              </w:rPr>
              <w:t>有限</w:t>
            </w:r>
            <w:r>
              <w:rPr>
                <w:rFonts w:hint="eastAsia" w:ascii="宋体" w:hAnsi="宋体" w:eastAsia="宋体" w:cs="宋体"/>
                <w:kern w:val="2"/>
                <w:sz w:val="21"/>
                <w:szCs w:val="21"/>
                <w:lang w:val="en-US" w:eastAsia="zh-CN" w:bidi="ar"/>
              </w:rPr>
              <w:t>，利空于浆价。预计浆价偏弱震荡。</w:t>
            </w:r>
          </w:p>
          <w:p w14:paraId="63DEAF4E">
            <w:pPr>
              <w:keepNext w:val="0"/>
              <w:keepLines w:val="0"/>
              <w:widowControl w:val="0"/>
              <w:suppressLineNumbers w:val="0"/>
              <w:spacing w:before="0" w:beforeAutospacing="0" w:after="0" w:afterAutospacing="0"/>
              <w:ind w:left="0" w:leftChars="0" w:right="0" w:rightChars="0"/>
              <w:jc w:val="both"/>
              <w:rPr>
                <w:rFonts w:hint="eastAsia" w:ascii="Calibri" w:hAnsi="Calibri" w:eastAsia="宋体" w:cs="Calibri"/>
                <w:b/>
                <w:bCs/>
                <w:kern w:val="2"/>
                <w:sz w:val="21"/>
                <w:szCs w:val="21"/>
                <w:lang w:val="en-US" w:eastAsia="zh" w:bidi="ar"/>
                <w:woUserID w:val="5"/>
              </w:rPr>
            </w:pPr>
            <w:r>
              <w:rPr>
                <w:rFonts w:hint="eastAsia" w:ascii="宋体" w:hAnsi="宋体" w:eastAsia="宋体" w:cs="宋体"/>
                <w:b/>
                <w:bCs/>
                <w:kern w:val="2"/>
                <w:sz w:val="21"/>
                <w:szCs w:val="21"/>
                <w:lang w:val="en-US" w:eastAsia="zh-CN" w:bidi="ar"/>
              </w:rPr>
              <w:t>原木：</w:t>
            </w:r>
            <w:r>
              <w:rPr>
                <w:rFonts w:hint="eastAsia" w:ascii="宋体" w:hAnsi="宋体" w:eastAsia="宋体" w:cs="宋体"/>
                <w:kern w:val="2"/>
                <w:sz w:val="21"/>
                <w:szCs w:val="21"/>
                <w:lang w:val="en-US" w:eastAsia="zh-CN" w:bidi="ar"/>
              </w:rPr>
              <w:t>上周原木港口日均出货量5.</w:t>
            </w:r>
            <w:r>
              <w:rPr>
                <w:rFonts w:hint="eastAsia" w:ascii="宋体" w:hAnsi="宋体" w:cs="宋体"/>
                <w:kern w:val="2"/>
                <w:sz w:val="21"/>
                <w:szCs w:val="21"/>
                <w:lang w:val="en-US" w:eastAsia="zh" w:bidi="ar"/>
                <w:woUserID w:val="5"/>
              </w:rPr>
              <w:t>75</w:t>
            </w:r>
            <w:r>
              <w:rPr>
                <w:rFonts w:hint="eastAsia" w:ascii="宋体" w:hAnsi="宋体" w:eastAsia="宋体" w:cs="宋体"/>
                <w:kern w:val="2"/>
                <w:sz w:val="21"/>
                <w:szCs w:val="21"/>
                <w:lang w:val="en-US" w:eastAsia="zh-CN" w:bidi="ar"/>
              </w:rPr>
              <w:t>万方，</w:t>
            </w:r>
            <w:r>
              <w:rPr>
                <w:rFonts w:hint="eastAsia" w:ascii="宋体" w:hAnsi="宋体" w:cs="宋体"/>
                <w:kern w:val="2"/>
                <w:sz w:val="21"/>
                <w:szCs w:val="21"/>
                <w:lang w:val="en-US" w:eastAsia="zh" w:bidi="ar"/>
                <w:woUserID w:val="5"/>
              </w:rPr>
              <w:t>周环比增加5.31%</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 w:bidi="ar"/>
                <w:woUserID w:val="5"/>
              </w:rPr>
              <w:t>2</w:t>
            </w:r>
            <w:r>
              <w:rPr>
                <w:rFonts w:hint="eastAsia" w:ascii="宋体" w:hAnsi="宋体" w:eastAsia="宋体" w:cs="宋体"/>
                <w:kern w:val="2"/>
                <w:sz w:val="21"/>
                <w:szCs w:val="21"/>
                <w:lang w:val="en-US" w:eastAsia="zh-CN" w:bidi="ar"/>
              </w:rPr>
              <w:t>月新西兰发运量</w:t>
            </w:r>
            <w:r>
              <w:rPr>
                <w:rFonts w:hint="eastAsia" w:ascii="宋体" w:hAnsi="宋体" w:cs="宋体"/>
                <w:kern w:val="2"/>
                <w:sz w:val="21"/>
                <w:szCs w:val="21"/>
                <w:lang w:val="en-US" w:eastAsia="zh" w:bidi="ar"/>
                <w:woUserID w:val="5"/>
              </w:rPr>
              <w:t>168.4</w:t>
            </w:r>
            <w:r>
              <w:rPr>
                <w:rFonts w:hint="eastAsia" w:ascii="宋体" w:hAnsi="宋体" w:eastAsia="宋体" w:cs="宋体"/>
                <w:kern w:val="2"/>
                <w:sz w:val="21"/>
                <w:szCs w:val="21"/>
                <w:lang w:val="en-US" w:eastAsia="zh-CN" w:bidi="ar"/>
              </w:rPr>
              <w:t>万方，</w:t>
            </w:r>
            <w:r>
              <w:rPr>
                <w:rFonts w:hint="eastAsia" w:ascii="宋体" w:hAnsi="宋体" w:cs="宋体"/>
                <w:kern w:val="2"/>
                <w:sz w:val="21"/>
                <w:szCs w:val="21"/>
                <w:lang w:val="en-US" w:eastAsia="zh" w:bidi="ar"/>
                <w:woUserID w:val="5"/>
              </w:rPr>
              <w:t>较上月增加63%</w:t>
            </w:r>
            <w:r>
              <w:rPr>
                <w:rFonts w:hint="eastAsia" w:ascii="宋体" w:hAnsi="宋体" w:eastAsia="宋体" w:cs="宋体"/>
                <w:kern w:val="2"/>
                <w:sz w:val="21"/>
                <w:szCs w:val="21"/>
                <w:lang w:val="en-US" w:eastAsia="zh-CN" w:bidi="ar"/>
              </w:rPr>
              <w:t>。上周原木</w:t>
            </w:r>
            <w:r>
              <w:rPr>
                <w:rFonts w:hint="eastAsia" w:ascii="宋体" w:hAnsi="宋体" w:cs="宋体"/>
                <w:kern w:val="2"/>
                <w:sz w:val="21"/>
                <w:szCs w:val="21"/>
                <w:lang w:val="en-US" w:eastAsia="zh" w:bidi="ar"/>
                <w:woUserID w:val="5"/>
              </w:rPr>
              <w:t>实际</w:t>
            </w:r>
            <w:r>
              <w:rPr>
                <w:rFonts w:hint="eastAsia" w:ascii="宋体" w:hAnsi="宋体" w:eastAsia="宋体" w:cs="宋体"/>
                <w:kern w:val="2"/>
                <w:sz w:val="21"/>
                <w:szCs w:val="21"/>
                <w:lang w:val="en-US" w:eastAsia="zh-CN" w:bidi="ar"/>
              </w:rPr>
              <w:t>到港量</w:t>
            </w:r>
            <w:r>
              <w:rPr>
                <w:rFonts w:hint="eastAsia" w:ascii="宋体" w:hAnsi="宋体" w:cs="宋体"/>
                <w:kern w:val="2"/>
                <w:sz w:val="21"/>
                <w:szCs w:val="21"/>
                <w:lang w:val="en-US" w:eastAsia="zh" w:bidi="ar"/>
                <w:woUserID w:val="5"/>
              </w:rPr>
              <w:t>31.32</w:t>
            </w:r>
            <w:r>
              <w:rPr>
                <w:rFonts w:hint="eastAsia" w:ascii="宋体" w:hAnsi="宋体" w:eastAsia="宋体" w:cs="宋体"/>
                <w:kern w:val="2"/>
                <w:sz w:val="21"/>
                <w:szCs w:val="21"/>
                <w:lang w:val="en-US" w:eastAsia="zh-CN" w:bidi="ar"/>
              </w:rPr>
              <w:t>万方，周环比减少</w:t>
            </w:r>
            <w:r>
              <w:rPr>
                <w:rFonts w:hint="eastAsia" w:ascii="宋体" w:hAnsi="宋体" w:cs="宋体"/>
                <w:kern w:val="2"/>
                <w:sz w:val="21"/>
                <w:szCs w:val="21"/>
                <w:lang w:val="en-US" w:eastAsia="zh" w:bidi="ar"/>
                <w:woUserID w:val="5"/>
              </w:rPr>
              <w:t>31</w:t>
            </w:r>
            <w:r>
              <w:rPr>
                <w:rFonts w:hint="eastAsia" w:ascii="宋体" w:hAnsi="宋体" w:eastAsia="宋体" w:cs="宋体"/>
                <w:kern w:val="2"/>
                <w:sz w:val="21"/>
                <w:szCs w:val="21"/>
                <w:lang w:val="en-US" w:eastAsia="zh-CN" w:bidi="ar"/>
              </w:rPr>
              <w:t>%</w:t>
            </w:r>
            <w:r>
              <w:rPr>
                <w:rFonts w:hint="eastAsia" w:ascii="宋体" w:hAnsi="宋体" w:cs="宋体"/>
                <w:kern w:val="2"/>
                <w:sz w:val="21"/>
                <w:szCs w:val="21"/>
                <w:lang w:val="en-US" w:eastAsia="zh" w:bidi="ar"/>
                <w:woUserID w:val="5"/>
              </w:rPr>
              <w:t>；本周预计到港量56.9万方，环比增加82%。</w:t>
            </w:r>
            <w:r>
              <w:rPr>
                <w:rFonts w:hint="eastAsia" w:ascii="宋体" w:hAnsi="宋体" w:eastAsia="宋体" w:cs="宋体"/>
                <w:kern w:val="2"/>
                <w:sz w:val="21"/>
                <w:szCs w:val="21"/>
                <w:lang w:val="en-US" w:eastAsia="zh-CN" w:bidi="ar"/>
              </w:rPr>
              <w:t>现货市场价格偏稳运行，江苏现货市场价格830元/立方米，山东市场价格稳定在830元/立方米，CFR报价</w:t>
            </w:r>
            <w:r>
              <w:rPr>
                <w:rFonts w:hint="eastAsia" w:ascii="宋体" w:hAnsi="宋体" w:cs="宋体"/>
                <w:kern w:val="2"/>
                <w:sz w:val="21"/>
                <w:szCs w:val="21"/>
                <w:lang w:val="en-US" w:eastAsia="zh" w:bidi="ar"/>
                <w:woUserID w:val="5"/>
              </w:rPr>
              <w:t>较上月</w:t>
            </w:r>
            <w:r>
              <w:rPr>
                <w:rFonts w:hint="eastAsia" w:ascii="宋体" w:hAnsi="宋体" w:eastAsia="宋体" w:cs="宋体"/>
                <w:kern w:val="2"/>
                <w:sz w:val="21"/>
                <w:szCs w:val="21"/>
                <w:lang w:val="en-US" w:eastAsia="zh-CN" w:bidi="ar"/>
              </w:rPr>
              <w:t>上涨3美元至在121美元/立方米。短期来看，</w:t>
            </w:r>
            <w:r>
              <w:rPr>
                <w:rFonts w:hint="eastAsia" w:ascii="宋体" w:hAnsi="宋体" w:cs="宋体"/>
                <w:kern w:val="2"/>
                <w:sz w:val="21"/>
                <w:szCs w:val="21"/>
                <w:lang w:val="en-US" w:eastAsia="zh" w:bidi="ar"/>
                <w:woUserID w:val="5"/>
              </w:rPr>
              <w:t>原木周度到港量增长显著，日均出库量增加，港口库存去库但压力仍存，需求不佳，</w:t>
            </w:r>
            <w:bookmarkStart w:id="5" w:name="_GoBack"/>
            <w:bookmarkEnd w:id="5"/>
            <w:r>
              <w:rPr>
                <w:rFonts w:hint="eastAsia" w:ascii="宋体" w:hAnsi="宋体" w:cs="宋体"/>
                <w:kern w:val="2"/>
                <w:sz w:val="21"/>
                <w:szCs w:val="21"/>
                <w:lang w:val="en-US" w:eastAsia="zh" w:bidi="ar"/>
                <w:woUserID w:val="5"/>
              </w:rPr>
              <w:t>现货市场价格偏稳运行，预计原木偏弱震荡运行。</w:t>
            </w:r>
          </w:p>
        </w:tc>
      </w:tr>
      <w:tr w14:paraId="0667411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80" w:hRule="atLeast"/>
          <w:jc w:val="center"/>
        </w:trPr>
        <w:tc>
          <w:tcPr>
            <w:tcW w:w="631" w:type="dxa"/>
            <w:vMerge w:val="continue"/>
            <w:vAlign w:val="center"/>
          </w:tcPr>
          <w:p w14:paraId="5898BA84">
            <w:pPr>
              <w:keepNext w:val="0"/>
              <w:keepLines w:val="0"/>
              <w:suppressLineNumbers w:val="0"/>
              <w:spacing w:before="0" w:beforeAutospacing="0" w:after="0" w:afterAutospacing="0"/>
              <w:ind w:left="0" w:leftChars="0" w:right="0" w:rightChars="0"/>
              <w:jc w:val="center"/>
              <w:rPr>
                <w:rFonts w:hint="default" w:ascii="宋体" w:hAnsi="宋体" w:eastAsia="宋体" w:cs="宋体"/>
                <w:szCs w:val="21"/>
              </w:rPr>
            </w:pPr>
          </w:p>
        </w:tc>
        <w:tc>
          <w:tcPr>
            <w:tcW w:w="1397" w:type="dxa"/>
            <w:vAlign w:val="center"/>
          </w:tcPr>
          <w:p w14:paraId="3BE960AB">
            <w:pPr>
              <w:keepNext w:val="0"/>
              <w:keepLines w:val="0"/>
              <w:suppressLineNumbers w:val="0"/>
              <w:spacing w:before="0" w:beforeAutospacing="0" w:after="0" w:afterAutospacing="0"/>
              <w:ind w:left="0" w:leftChars="0" w:right="0" w:rightChars="0"/>
              <w:jc w:val="center"/>
              <w:rPr>
                <w:rFonts w:hint="eastAsia" w:ascii="宋体" w:hAnsi="宋体" w:eastAsia="宋体" w:cs="宋体"/>
                <w:szCs w:val="21"/>
              </w:rPr>
            </w:pPr>
            <w:r>
              <w:rPr>
                <w:rFonts w:hint="eastAsia" w:ascii="宋体" w:hAnsi="宋体"/>
                <w:szCs w:val="21"/>
              </w:rPr>
              <w:t>原木</w:t>
            </w:r>
          </w:p>
        </w:tc>
        <w:tc>
          <w:tcPr>
            <w:tcW w:w="1254" w:type="dxa"/>
            <w:vAlign w:val="center"/>
          </w:tcPr>
          <w:p w14:paraId="45937A5C">
            <w:pPr>
              <w:keepNext w:val="0"/>
              <w:keepLines w:val="0"/>
              <w:suppressLineNumbers w:val="0"/>
              <w:spacing w:before="0" w:beforeAutospacing="0" w:after="0" w:afterAutospacing="0"/>
              <w:ind w:left="0" w:leftChars="0" w:right="0" w:rightChars="0"/>
              <w:jc w:val="center"/>
              <w:rPr>
                <w:rFonts w:hint="eastAsia" w:ascii="宋体" w:hAnsi="宋体" w:cs="宋体"/>
                <w:i w:val="0"/>
                <w:iCs w:val="0"/>
                <w:color w:val="000000"/>
                <w:szCs w:val="21"/>
              </w:rPr>
            </w:pPr>
            <w:r>
              <w:rPr>
                <w:rFonts w:hint="eastAsia" w:ascii="宋体" w:hAnsi="宋体"/>
                <w:szCs w:val="21"/>
                <w:lang w:eastAsia="zh"/>
                <w:woUserID w:val="2"/>
              </w:rPr>
              <w:t>震荡</w:t>
            </w:r>
          </w:p>
        </w:tc>
        <w:tc>
          <w:tcPr>
            <w:tcW w:w="6804" w:type="dxa"/>
            <w:vMerge w:val="continue"/>
            <w:shd w:val="clear" w:color="auto" w:fill="auto"/>
            <w:vAlign w:val="top"/>
          </w:tcPr>
          <w:p w14:paraId="2B41BA24">
            <w:pPr>
              <w:keepNext w:val="0"/>
              <w:keepLines w:val="0"/>
              <w:suppressLineNumbers w:val="0"/>
              <w:spacing w:before="0" w:beforeAutospacing="0" w:after="0" w:afterAutospacing="0"/>
              <w:ind w:left="0" w:leftChars="0" w:right="0" w:rightChars="0"/>
              <w:jc w:val="center"/>
              <w:rPr>
                <w:rFonts w:hint="default" w:ascii="Calibri" w:hAnsi="Calibri" w:eastAsia="宋体" w:cs="Calibri"/>
                <w:b/>
                <w:bCs/>
                <w:kern w:val="2"/>
                <w:sz w:val="21"/>
                <w:szCs w:val="21"/>
                <w:lang w:val="en-US" w:eastAsia="zh-CN" w:bidi="ar"/>
              </w:rPr>
            </w:pPr>
          </w:p>
        </w:tc>
      </w:tr>
      <w:tr w14:paraId="2C7B2342">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00" w:hRule="atLeast"/>
          <w:jc w:val="center"/>
        </w:trPr>
        <w:tc>
          <w:tcPr>
            <w:tcW w:w="631" w:type="dxa"/>
            <w:vMerge w:val="restart"/>
            <w:vAlign w:val="center"/>
          </w:tcPr>
          <w:p w14:paraId="1F40376B">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2A356A3F">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484956AD">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57A4EAF4">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42C59B2A">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4798A090">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6E7C6734">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p w14:paraId="052CCC6A">
            <w:pPr>
              <w:keepNext w:val="0"/>
              <w:keepLines w:val="0"/>
              <w:suppressLineNumbers w:val="0"/>
              <w:spacing w:before="0" w:beforeAutospacing="0" w:after="0" w:afterAutospacing="0"/>
              <w:ind w:left="0" w:right="0"/>
              <w:jc w:val="center"/>
              <w:rPr>
                <w:rFonts w:hint="eastAsia" w:ascii="宋体" w:hAnsi="宋体"/>
                <w:b/>
                <w:sz w:val="24"/>
                <w:szCs w:val="21"/>
                <w:lang w:val="en-US" w:eastAsia="zh-CN"/>
              </w:rPr>
            </w:pPr>
            <w:r>
              <w:rPr>
                <w:rFonts w:hint="eastAsia" w:ascii="宋体" w:hAnsi="宋体"/>
                <w:b/>
                <w:sz w:val="24"/>
                <w:szCs w:val="21"/>
                <w:lang w:val="en-US" w:eastAsia="zh-CN"/>
              </w:rPr>
              <w:t>能化</w:t>
            </w:r>
          </w:p>
          <w:p w14:paraId="41A0E115">
            <w:pPr>
              <w:keepNext w:val="0"/>
              <w:keepLines w:val="0"/>
              <w:suppressLineNumbers w:val="0"/>
              <w:spacing w:before="0" w:beforeAutospacing="0" w:after="0" w:afterAutospacing="0"/>
              <w:ind w:left="0" w:right="0"/>
              <w:jc w:val="center"/>
              <w:rPr>
                <w:rFonts w:hint="default" w:ascii="宋体" w:hAnsi="宋体"/>
                <w:b/>
                <w:sz w:val="24"/>
                <w:szCs w:val="21"/>
              </w:rPr>
            </w:pPr>
          </w:p>
          <w:p w14:paraId="2C04ADE0">
            <w:pPr>
              <w:keepNext w:val="0"/>
              <w:keepLines w:val="0"/>
              <w:suppressLineNumbers w:val="0"/>
              <w:spacing w:before="0" w:beforeAutospacing="0" w:after="0" w:afterAutospacing="0"/>
              <w:ind w:left="0" w:right="0"/>
              <w:jc w:val="center"/>
              <w:rPr>
                <w:rFonts w:hint="eastAsia" w:ascii="宋体" w:hAnsi="宋体"/>
                <w:b/>
                <w:sz w:val="24"/>
                <w:szCs w:val="21"/>
              </w:rPr>
            </w:pPr>
          </w:p>
          <w:p w14:paraId="6937BDDA">
            <w:pPr>
              <w:keepNext w:val="0"/>
              <w:keepLines w:val="0"/>
              <w:suppressLineNumbers w:val="0"/>
              <w:spacing w:before="0" w:beforeAutospacing="0" w:after="0" w:afterAutospacing="0"/>
              <w:ind w:left="0" w:right="0"/>
              <w:jc w:val="center"/>
              <w:rPr>
                <w:rFonts w:hint="default" w:ascii="宋体" w:hAnsi="宋体" w:eastAsia="宋体" w:cs="宋体"/>
                <w:szCs w:val="21"/>
              </w:rPr>
            </w:pPr>
          </w:p>
          <w:p w14:paraId="624B9F24">
            <w:pPr>
              <w:keepNext w:val="0"/>
              <w:keepLines w:val="0"/>
              <w:suppressLineNumbers w:val="0"/>
              <w:spacing w:before="0" w:beforeAutospacing="0" w:after="0" w:afterAutospacing="0" w:line="276" w:lineRule="auto"/>
              <w:ind w:left="0" w:right="0"/>
              <w:rPr>
                <w:rFonts w:hint="default" w:ascii="宋体" w:hAnsi="宋体"/>
                <w:b/>
                <w:bCs/>
                <w:color w:val="000000"/>
                <w:szCs w:val="21"/>
              </w:rPr>
            </w:pPr>
          </w:p>
          <w:p w14:paraId="3CCE4D74">
            <w:pPr>
              <w:keepNext w:val="0"/>
              <w:keepLines w:val="0"/>
              <w:suppressLineNumbers w:val="0"/>
              <w:spacing w:before="0" w:beforeAutospacing="0" w:after="0" w:afterAutospacing="0" w:line="276" w:lineRule="auto"/>
              <w:ind w:left="0" w:right="0"/>
              <w:rPr>
                <w:rFonts w:hint="default" w:ascii="宋体" w:hAnsi="宋体"/>
                <w:b/>
                <w:bCs/>
                <w:color w:val="000000"/>
                <w:szCs w:val="21"/>
              </w:rPr>
            </w:pPr>
          </w:p>
          <w:p w14:paraId="3F4DCF90">
            <w:pPr>
              <w:keepNext w:val="0"/>
              <w:keepLines w:val="0"/>
              <w:suppressLineNumbers w:val="0"/>
              <w:spacing w:before="0" w:beforeAutospacing="0" w:after="0" w:afterAutospacing="0" w:line="276" w:lineRule="auto"/>
              <w:ind w:left="0" w:right="0"/>
              <w:rPr>
                <w:rFonts w:hint="default" w:ascii="宋体" w:hAnsi="宋体"/>
                <w:b/>
                <w:bCs/>
                <w:color w:val="000000"/>
                <w:szCs w:val="21"/>
              </w:rPr>
            </w:pPr>
          </w:p>
          <w:p w14:paraId="126A6859">
            <w:pPr>
              <w:keepNext w:val="0"/>
              <w:keepLines w:val="0"/>
              <w:suppressLineNumbers w:val="0"/>
              <w:spacing w:before="0" w:beforeAutospacing="0" w:after="0" w:afterAutospacing="0" w:line="276" w:lineRule="auto"/>
              <w:ind w:left="0" w:right="0"/>
              <w:rPr>
                <w:rFonts w:hint="default" w:ascii="宋体" w:hAnsi="宋体"/>
                <w:b/>
                <w:bCs/>
                <w:color w:val="000000"/>
                <w:szCs w:val="21"/>
              </w:rPr>
            </w:pPr>
          </w:p>
          <w:p w14:paraId="1A089104">
            <w:pPr>
              <w:keepNext w:val="0"/>
              <w:keepLines w:val="0"/>
              <w:suppressLineNumbers w:val="0"/>
              <w:spacing w:before="0" w:beforeAutospacing="0" w:after="0" w:afterAutospacing="0" w:line="276" w:lineRule="auto"/>
              <w:ind w:left="0" w:right="0"/>
              <w:rPr>
                <w:rFonts w:hint="default" w:ascii="宋体" w:hAnsi="宋体"/>
                <w:b/>
                <w:bCs/>
                <w:color w:val="000000"/>
                <w:szCs w:val="21"/>
              </w:rPr>
            </w:pPr>
          </w:p>
          <w:p w14:paraId="094449A2">
            <w:pPr>
              <w:keepNext w:val="0"/>
              <w:keepLines w:val="0"/>
              <w:suppressLineNumbers w:val="0"/>
              <w:spacing w:before="0" w:beforeAutospacing="0" w:after="0" w:afterAutospacing="0"/>
              <w:ind w:left="0" w:right="0"/>
              <w:rPr>
                <w:rFonts w:hint="default" w:ascii="宋体" w:hAnsi="宋体"/>
                <w:szCs w:val="21"/>
              </w:rPr>
            </w:pPr>
          </w:p>
          <w:p w14:paraId="1D808676">
            <w:pPr>
              <w:keepNext w:val="0"/>
              <w:keepLines w:val="0"/>
              <w:suppressLineNumbers w:val="0"/>
              <w:spacing w:before="0" w:beforeAutospacing="0" w:after="0" w:afterAutospacing="0"/>
              <w:ind w:left="0" w:right="0"/>
              <w:rPr>
                <w:rFonts w:hint="default" w:ascii="宋体" w:hAnsi="宋体"/>
                <w:szCs w:val="21"/>
              </w:rPr>
            </w:pPr>
          </w:p>
          <w:p w14:paraId="35FC3A04">
            <w:pPr>
              <w:keepNext w:val="0"/>
              <w:keepLines w:val="0"/>
              <w:suppressLineNumbers w:val="0"/>
              <w:spacing w:before="0" w:beforeAutospacing="0" w:after="0" w:afterAutospacing="0"/>
              <w:ind w:left="0" w:right="0"/>
              <w:rPr>
                <w:rFonts w:hint="default" w:ascii="宋体" w:hAnsi="宋体"/>
                <w:szCs w:val="21"/>
              </w:rPr>
            </w:pPr>
          </w:p>
        </w:tc>
        <w:tc>
          <w:tcPr>
            <w:tcW w:w="1397" w:type="dxa"/>
            <w:vAlign w:val="center"/>
          </w:tcPr>
          <w:p w14:paraId="5ADA001F">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eastAsia="宋体" w:cs="宋体"/>
                <w:szCs w:val="21"/>
              </w:rPr>
              <w:t>PX</w:t>
            </w:r>
          </w:p>
        </w:tc>
        <w:tc>
          <w:tcPr>
            <w:tcW w:w="1254" w:type="dxa"/>
            <w:vAlign w:val="center"/>
          </w:tcPr>
          <w:p w14:paraId="679B00A2">
            <w:pPr>
              <w:keepNext w:val="0"/>
              <w:keepLines w:val="0"/>
              <w:suppressLineNumbers w:val="0"/>
              <w:spacing w:before="0" w:beforeAutospacing="0" w:after="0" w:afterAutospacing="0" w:line="276" w:lineRule="auto"/>
              <w:ind w:left="0" w:right="0"/>
              <w:jc w:val="center"/>
              <w:rPr>
                <w:rFonts w:hint="eastAsia" w:ascii="宋体" w:hAnsi="宋体" w:eastAsia="宋体" w:cs="宋体"/>
                <w:i/>
                <w:iCs/>
                <w:szCs w:val="21"/>
              </w:rPr>
            </w:pPr>
            <w:r>
              <w:rPr>
                <w:rFonts w:hint="eastAsia" w:ascii="宋体" w:hAnsi="宋体" w:cs="宋体"/>
                <w:i w:val="0"/>
                <w:iCs w:val="0"/>
                <w:color w:val="000000"/>
                <w:szCs w:val="21"/>
              </w:rPr>
              <w:t>宽幅</w:t>
            </w:r>
            <w:r>
              <w:rPr>
                <w:rFonts w:hint="eastAsia" w:ascii="宋体" w:hAnsi="宋体" w:eastAsia="宋体" w:cs="宋体"/>
                <w:i w:val="0"/>
                <w:iCs w:val="0"/>
                <w:color w:val="000000"/>
                <w:szCs w:val="21"/>
              </w:rPr>
              <w:t>震荡</w:t>
            </w:r>
          </w:p>
        </w:tc>
        <w:tc>
          <w:tcPr>
            <w:tcW w:w="6804" w:type="dxa"/>
            <w:vMerge w:val="restart"/>
            <w:shd w:val="clear" w:color="auto" w:fill="auto"/>
          </w:tcPr>
          <w:p w14:paraId="3EDFF452">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25" w:beforeAutospacing="0" w:after="150" w:afterAutospacing="0" w:line="240" w:lineRule="auto"/>
              <w:ind w:left="0" w:right="0" w:firstLine="0"/>
              <w:jc w:val="left"/>
              <w:rPr>
                <w:rFonts w:hint="eastAsia" w:ascii="宋体" w:hAnsi="宋体" w:eastAsia="宋体" w:cs="宋体"/>
                <w:b w:val="0"/>
                <w:bCs/>
                <w:kern w:val="2"/>
                <w:sz w:val="21"/>
                <w:szCs w:val="21"/>
                <w:lang w:val="en-US" w:eastAsia="zh-CN" w:bidi="ar"/>
              </w:rPr>
            </w:pPr>
            <w:r>
              <w:rPr>
                <w:rFonts w:hint="default" w:ascii="Calibri" w:hAnsi="Calibri" w:eastAsia="宋体" w:cs="Calibri"/>
                <w:b/>
                <w:bCs/>
                <w:kern w:val="2"/>
                <w:sz w:val="21"/>
                <w:szCs w:val="21"/>
                <w:lang w:val="en-US" w:eastAsia="zh-CN" w:bidi="ar"/>
              </w:rPr>
              <w:t>PX</w:t>
            </w:r>
            <w:r>
              <w:rPr>
                <w:rFonts w:hint="default" w:ascii="Calibri" w:hAnsi="Calibri" w:eastAsia="宋体" w:cs="Calibri"/>
                <w:b w:val="0"/>
                <w:bCs w:val="0"/>
                <w:kern w:val="2"/>
                <w:sz w:val="21"/>
                <w:szCs w:val="21"/>
                <w:lang w:val="en-US" w:eastAsia="zh-CN" w:bidi="ar"/>
              </w:rPr>
              <w:t>:</w:t>
            </w:r>
            <w:r>
              <w:rPr>
                <w:rFonts w:hint="eastAsia" w:ascii="Calibri" w:hAnsi="Calibri" w:cs="Calibri"/>
                <w:b w:val="0"/>
                <w:bCs w:val="0"/>
                <w:kern w:val="2"/>
                <w:sz w:val="21"/>
                <w:szCs w:val="21"/>
                <w:lang w:val="en-US" w:eastAsia="zh" w:bidi="ar"/>
                <w:woUserID w:val="3"/>
              </w:rPr>
              <w:t>尽管昨日油价反弹，但后续</w:t>
            </w:r>
            <w:r>
              <w:rPr>
                <w:rFonts w:hint="default" w:ascii="宋体" w:hAnsi="宋体" w:eastAsia="宋体" w:cs="宋体"/>
                <w:b w:val="0"/>
                <w:bCs/>
                <w:kern w:val="2"/>
                <w:sz w:val="21"/>
                <w:szCs w:val="21"/>
                <w:lang w:val="en-US" w:eastAsia="zh-CN" w:bidi="ar"/>
              </w:rPr>
              <w:t>关税、地缘不确定性背景下油价维持低位震荡</w:t>
            </w:r>
            <w:r>
              <w:rPr>
                <w:rFonts w:hint="eastAsia" w:ascii="宋体" w:hAnsi="宋体" w:eastAsia="宋体" w:cs="宋体"/>
                <w:b w:val="0"/>
                <w:bCs/>
                <w:kern w:val="2"/>
                <w:sz w:val="21"/>
                <w:szCs w:val="21"/>
                <w:lang w:val="en-US" w:eastAsia="zh-CN" w:bidi="ar"/>
              </w:rPr>
              <w:t>。国内</w:t>
            </w:r>
            <w:r>
              <w:rPr>
                <w:rFonts w:hint="default" w:ascii="宋体" w:hAnsi="宋体" w:eastAsia="宋体" w:cs="宋体"/>
                <w:b w:val="0"/>
                <w:bCs/>
                <w:kern w:val="2"/>
                <w:sz w:val="21"/>
                <w:szCs w:val="21"/>
                <w:lang w:val="en-US" w:eastAsia="zh-CN" w:bidi="ar"/>
              </w:rPr>
              <w:t>PX</w:t>
            </w:r>
            <w:r>
              <w:rPr>
                <w:rFonts w:hint="eastAsia" w:ascii="宋体" w:hAnsi="宋体" w:eastAsia="宋体" w:cs="宋体"/>
                <w:b w:val="0"/>
                <w:bCs/>
                <w:kern w:val="2"/>
                <w:sz w:val="21"/>
                <w:szCs w:val="21"/>
                <w:lang w:val="en-US" w:eastAsia="zh-CN" w:bidi="ar"/>
              </w:rPr>
              <w:t>负荷略微回升，需求端</w:t>
            </w:r>
            <w:r>
              <w:rPr>
                <w:rFonts w:hint="default" w:ascii="宋体" w:hAnsi="宋体" w:eastAsia="宋体" w:cs="宋体"/>
                <w:b w:val="0"/>
                <w:bCs/>
                <w:kern w:val="2"/>
                <w:sz w:val="21"/>
                <w:szCs w:val="21"/>
                <w:lang w:val="en-US" w:eastAsia="zh-CN" w:bidi="ar"/>
              </w:rPr>
              <w:t>PTA</w:t>
            </w:r>
            <w:r>
              <w:rPr>
                <w:rFonts w:hint="eastAsia" w:ascii="宋体" w:hAnsi="宋体" w:eastAsia="宋体" w:cs="宋体"/>
                <w:b w:val="0"/>
                <w:bCs/>
                <w:kern w:val="2"/>
                <w:sz w:val="21"/>
                <w:szCs w:val="21"/>
                <w:lang w:val="en-US" w:eastAsia="zh-CN" w:bidi="ar"/>
              </w:rPr>
              <w:t>负荷继续下降，</w:t>
            </w:r>
            <w:r>
              <w:rPr>
                <w:rFonts w:hint="default" w:ascii="宋体" w:hAnsi="宋体" w:eastAsia="宋体" w:cs="宋体"/>
                <w:b w:val="0"/>
                <w:bCs/>
                <w:kern w:val="2"/>
                <w:sz w:val="21"/>
                <w:szCs w:val="21"/>
                <w:lang w:val="en-US" w:eastAsia="zh-CN" w:bidi="ar"/>
              </w:rPr>
              <w:t>PXN</w:t>
            </w:r>
            <w:r>
              <w:rPr>
                <w:rFonts w:hint="eastAsia" w:ascii="宋体" w:hAnsi="宋体" w:eastAsia="宋体" w:cs="宋体"/>
                <w:b w:val="0"/>
                <w:bCs/>
                <w:kern w:val="2"/>
                <w:sz w:val="21"/>
                <w:szCs w:val="21"/>
                <w:lang w:val="en-US" w:eastAsia="zh-CN" w:bidi="ar"/>
              </w:rPr>
              <w:t>价差震荡。近期油价偏弱</w:t>
            </w:r>
            <w:r>
              <w:rPr>
                <w:rFonts w:hint="eastAsia" w:ascii="宋体" w:hAnsi="宋体" w:eastAsia="宋体" w:cs="宋体"/>
                <w:b w:val="0"/>
                <w:bCs/>
                <w:kern w:val="2"/>
                <w:sz w:val="21"/>
                <w:szCs w:val="21"/>
                <w:lang w:val="en-US" w:eastAsia="zh" w:bidi="ar"/>
              </w:rPr>
              <w:t>震荡</w:t>
            </w:r>
            <w:r>
              <w:rPr>
                <w:rFonts w:hint="eastAsia" w:ascii="宋体" w:hAnsi="宋体" w:eastAsia="宋体" w:cs="宋体"/>
                <w:b w:val="0"/>
                <w:bCs/>
                <w:kern w:val="2"/>
                <w:sz w:val="21"/>
                <w:szCs w:val="21"/>
                <w:lang w:val="en-US" w:eastAsia="zh-CN" w:bidi="ar"/>
              </w:rPr>
              <w:t>，预计</w:t>
            </w:r>
            <w:r>
              <w:rPr>
                <w:rFonts w:hint="default" w:ascii="宋体" w:hAnsi="宋体" w:eastAsia="宋体" w:cs="宋体"/>
                <w:b w:val="0"/>
                <w:bCs/>
                <w:kern w:val="2"/>
                <w:sz w:val="21"/>
                <w:szCs w:val="21"/>
                <w:lang w:val="en-US" w:eastAsia="zh-CN" w:bidi="ar"/>
              </w:rPr>
              <w:t>PX</w:t>
            </w:r>
            <w:r>
              <w:rPr>
                <w:rFonts w:hint="eastAsia" w:ascii="宋体" w:hAnsi="宋体" w:eastAsia="宋体" w:cs="宋体"/>
                <w:b w:val="0"/>
                <w:bCs/>
                <w:kern w:val="2"/>
                <w:sz w:val="21"/>
                <w:szCs w:val="21"/>
                <w:lang w:val="en-US" w:eastAsia="zh-CN" w:bidi="ar"/>
              </w:rPr>
              <w:t>价格宽幅整理为</w:t>
            </w:r>
            <w:r>
              <w:rPr>
                <w:rFonts w:hint="eastAsia" w:ascii="宋体" w:hAnsi="宋体" w:eastAsia="宋体" w:cs="宋体"/>
                <w:b w:val="0"/>
                <w:bCs w:val="0"/>
                <w:kern w:val="2"/>
                <w:sz w:val="21"/>
                <w:szCs w:val="21"/>
                <w:lang w:val="en-US" w:eastAsia="zh-CN" w:bidi="ar"/>
                <w:woUserID w:val="3"/>
              </w:rPr>
              <w:t>主</w:t>
            </w:r>
            <w:r>
              <w:rPr>
                <w:rFonts w:hint="eastAsia" w:ascii="宋体" w:hAnsi="宋体" w:eastAsia="宋体" w:cs="宋体"/>
                <w:b w:val="0"/>
                <w:bCs/>
                <w:kern w:val="2"/>
                <w:sz w:val="21"/>
                <w:szCs w:val="21"/>
                <w:lang w:val="en-US" w:eastAsia="zh-CN" w:bidi="ar"/>
              </w:rPr>
              <w:t>。</w:t>
            </w:r>
          </w:p>
          <w:p w14:paraId="646AF53C">
            <w:pPr>
              <w:keepNext w:val="0"/>
              <w:keepLines w:val="0"/>
              <w:widowControl w:val="0"/>
              <w:suppressLineNumbers w:val="0"/>
              <w:spacing w:before="0" w:beforeAutospacing="0" w:after="0" w:afterAutospacing="0" w:line="240" w:lineRule="auto"/>
              <w:ind w:left="0" w:right="0"/>
              <w:jc w:val="both"/>
              <w:rPr>
                <w:rFonts w:hint="eastAsia" w:ascii="宋体" w:hAnsi="宋体" w:eastAsia="宋体" w:cs="宋体"/>
                <w:b w:val="0"/>
                <w:bCs/>
                <w:kern w:val="2"/>
                <w:sz w:val="21"/>
                <w:szCs w:val="21"/>
                <w:lang w:val="en-US" w:eastAsia="zh-CN" w:bidi="ar"/>
              </w:rPr>
            </w:pPr>
            <w:r>
              <w:rPr>
                <w:rFonts w:hint="default" w:ascii="Calibri" w:hAnsi="Calibri" w:eastAsia="宋体" w:cs="Calibri"/>
                <w:b/>
                <w:bCs/>
                <w:kern w:val="2"/>
                <w:sz w:val="21"/>
                <w:szCs w:val="21"/>
                <w:lang w:val="en-US" w:eastAsia="zh-CN" w:bidi="ar"/>
              </w:rPr>
              <w:t>PTA</w:t>
            </w:r>
            <w:r>
              <w:rPr>
                <w:rFonts w:hint="default" w:ascii="Calibri" w:hAnsi="Calibri" w:eastAsia="宋体" w:cs="Calibri"/>
                <w:b w:val="0"/>
                <w:bCs w:val="0"/>
                <w:kern w:val="2"/>
                <w:sz w:val="21"/>
                <w:szCs w:val="21"/>
                <w:lang w:val="en-US" w:eastAsia="zh-CN" w:bidi="ar"/>
              </w:rPr>
              <w:t>:</w:t>
            </w:r>
            <w:r>
              <w:rPr>
                <w:rFonts w:hint="eastAsia" w:ascii="宋体" w:hAnsi="宋体" w:eastAsia="宋体" w:cs="宋体"/>
                <w:b w:val="0"/>
                <w:bCs/>
                <w:kern w:val="2"/>
                <w:sz w:val="21"/>
                <w:szCs w:val="21"/>
                <w:lang w:val="en-US" w:eastAsia="zh-CN" w:bidi="ar"/>
              </w:rPr>
              <w:t>原料</w:t>
            </w:r>
            <w:r>
              <w:rPr>
                <w:rFonts w:hint="eastAsia" w:ascii="宋体" w:hAnsi="宋体" w:cs="宋体"/>
                <w:b w:val="0"/>
                <w:bCs/>
                <w:kern w:val="2"/>
                <w:sz w:val="21"/>
                <w:szCs w:val="21"/>
                <w:lang w:val="en-US" w:eastAsia="zh" w:bidi="ar"/>
                <w:woUserID w:val="3"/>
              </w:rPr>
              <w:t>反弹</w:t>
            </w:r>
            <w:r>
              <w:rPr>
                <w:rFonts w:hint="eastAsia" w:ascii="宋体" w:hAnsi="宋体" w:eastAsia="宋体" w:cs="宋体"/>
                <w:b w:val="0"/>
                <w:bCs/>
                <w:kern w:val="2"/>
                <w:sz w:val="21"/>
                <w:szCs w:val="21"/>
                <w:lang w:val="en-US" w:eastAsia="zh-CN" w:bidi="ar"/>
              </w:rPr>
              <w:t>，</w:t>
            </w:r>
            <w:r>
              <w:rPr>
                <w:rFonts w:hint="default" w:ascii="宋体" w:hAnsi="宋体" w:eastAsia="宋体" w:cs="宋体"/>
                <w:b w:val="0"/>
                <w:bCs/>
                <w:kern w:val="2"/>
                <w:sz w:val="21"/>
                <w:szCs w:val="21"/>
                <w:lang w:val="en-US" w:eastAsia="zh-CN" w:bidi="ar"/>
              </w:rPr>
              <w:t>PXN</w:t>
            </w:r>
            <w:r>
              <w:rPr>
                <w:rFonts w:hint="eastAsia" w:ascii="宋体" w:hAnsi="宋体" w:eastAsia="宋体" w:cs="宋体"/>
                <w:b w:val="0"/>
                <w:bCs/>
                <w:kern w:val="2"/>
                <w:sz w:val="21"/>
                <w:szCs w:val="21"/>
                <w:lang w:val="en-US" w:eastAsia="zh-CN" w:bidi="ar"/>
              </w:rPr>
              <w:t>价差</w:t>
            </w:r>
            <w:r>
              <w:rPr>
                <w:rFonts w:hint="eastAsia" w:ascii="宋体" w:hAnsi="宋体" w:cs="宋体"/>
                <w:b w:val="0"/>
                <w:bCs/>
                <w:kern w:val="2"/>
                <w:sz w:val="21"/>
                <w:szCs w:val="21"/>
                <w:lang w:val="en-US" w:eastAsia="zh" w:bidi="ar"/>
                <w:woUserID w:val="3"/>
              </w:rPr>
              <w:t>198</w:t>
            </w:r>
            <w:r>
              <w:rPr>
                <w:rFonts w:hint="eastAsia" w:ascii="宋体" w:hAnsi="宋体" w:eastAsia="宋体" w:cs="宋体"/>
                <w:b w:val="0"/>
                <w:bCs/>
                <w:kern w:val="2"/>
                <w:sz w:val="21"/>
                <w:szCs w:val="21"/>
                <w:lang w:val="en-US" w:eastAsia="zh-CN" w:bidi="ar"/>
              </w:rPr>
              <w:t>美元</w:t>
            </w:r>
            <w:r>
              <w:rPr>
                <w:rFonts w:hint="default" w:ascii="宋体" w:hAnsi="宋体"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吨附近，现货</w:t>
            </w:r>
            <w:r>
              <w:rPr>
                <w:rFonts w:hint="default" w:ascii="宋体" w:hAnsi="宋体" w:eastAsia="宋体" w:cs="宋体"/>
                <w:b w:val="0"/>
                <w:bCs/>
                <w:kern w:val="2"/>
                <w:sz w:val="21"/>
                <w:szCs w:val="21"/>
                <w:lang w:val="en-US" w:eastAsia="zh-CN" w:bidi="ar"/>
              </w:rPr>
              <w:t>TA</w:t>
            </w:r>
            <w:r>
              <w:rPr>
                <w:rFonts w:hint="eastAsia" w:ascii="宋体" w:hAnsi="宋体" w:eastAsia="宋体" w:cs="宋体"/>
                <w:b w:val="0"/>
                <w:bCs/>
                <w:kern w:val="2"/>
                <w:sz w:val="21"/>
                <w:szCs w:val="21"/>
                <w:lang w:val="en-US" w:eastAsia="zh-CN" w:bidi="ar"/>
              </w:rPr>
              <w:t>加工差在</w:t>
            </w:r>
            <w:r>
              <w:rPr>
                <w:rFonts w:hint="eastAsia" w:ascii="宋体" w:hAnsi="宋体" w:cs="宋体"/>
                <w:b w:val="0"/>
                <w:bCs/>
                <w:kern w:val="2"/>
                <w:sz w:val="21"/>
                <w:szCs w:val="21"/>
                <w:lang w:val="en-US" w:eastAsia="zh" w:bidi="ar"/>
                <w:woUserID w:val="3"/>
              </w:rPr>
              <w:t>297</w:t>
            </w:r>
            <w:r>
              <w:rPr>
                <w:rFonts w:hint="eastAsia" w:ascii="宋体" w:hAnsi="宋体" w:eastAsia="宋体" w:cs="宋体"/>
                <w:b w:val="0"/>
                <w:bCs/>
                <w:kern w:val="2"/>
                <w:sz w:val="21"/>
                <w:szCs w:val="21"/>
                <w:lang w:val="en-US" w:eastAsia="zh-CN" w:bidi="ar"/>
              </w:rPr>
              <w:t>元</w:t>
            </w:r>
            <w:r>
              <w:rPr>
                <w:rFonts w:hint="default" w:ascii="宋体" w:hAnsi="宋体"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吨附近，</w:t>
            </w:r>
            <w:r>
              <w:rPr>
                <w:rFonts w:hint="default" w:ascii="宋体" w:hAnsi="宋体" w:eastAsia="宋体" w:cs="宋体"/>
                <w:b w:val="0"/>
                <w:bCs/>
                <w:kern w:val="2"/>
                <w:sz w:val="21"/>
                <w:szCs w:val="21"/>
                <w:lang w:val="en-US" w:eastAsia="zh-CN" w:bidi="ar"/>
              </w:rPr>
              <w:t>TA</w:t>
            </w:r>
            <w:r>
              <w:rPr>
                <w:rFonts w:hint="eastAsia" w:ascii="宋体" w:hAnsi="宋体" w:eastAsia="宋体" w:cs="宋体"/>
                <w:b w:val="0"/>
                <w:bCs/>
                <w:kern w:val="2"/>
                <w:sz w:val="21"/>
                <w:szCs w:val="21"/>
                <w:lang w:val="en-US" w:eastAsia="zh-CN" w:bidi="ar"/>
              </w:rPr>
              <w:t>负荷下降至</w:t>
            </w:r>
            <w:r>
              <w:rPr>
                <w:rFonts w:hint="default" w:ascii="宋体" w:hAnsi="宋体" w:eastAsia="宋体" w:cs="宋体"/>
                <w:b w:val="0"/>
                <w:bCs/>
                <w:kern w:val="2"/>
                <w:sz w:val="21"/>
                <w:szCs w:val="21"/>
                <w:lang w:val="en-US" w:eastAsia="zh-CN" w:bidi="ar"/>
              </w:rPr>
              <w:t>73.6%</w:t>
            </w:r>
            <w:r>
              <w:rPr>
                <w:rFonts w:hint="eastAsia" w:ascii="宋体" w:hAnsi="宋体" w:eastAsia="宋体" w:cs="宋体"/>
                <w:b w:val="0"/>
                <w:bCs/>
                <w:kern w:val="2"/>
                <w:sz w:val="21"/>
                <w:szCs w:val="21"/>
                <w:lang w:val="en-US" w:eastAsia="zh-CN" w:bidi="ar"/>
              </w:rPr>
              <w:t>附近波动；聚酯负荷回升至</w:t>
            </w:r>
            <w:r>
              <w:rPr>
                <w:rFonts w:hint="default" w:ascii="宋体" w:hAnsi="宋体" w:eastAsia="宋体" w:cs="宋体"/>
                <w:b w:val="0"/>
                <w:bCs/>
                <w:kern w:val="2"/>
                <w:sz w:val="21"/>
                <w:szCs w:val="21"/>
                <w:lang w:val="en-US" w:eastAsia="zh-CN" w:bidi="ar"/>
              </w:rPr>
              <w:t>88.</w:t>
            </w:r>
            <w:r>
              <w:rPr>
                <w:rFonts w:hint="eastAsia" w:ascii="宋体" w:hAnsi="宋体" w:cs="宋体"/>
                <w:b w:val="0"/>
                <w:bCs/>
                <w:kern w:val="2"/>
                <w:sz w:val="21"/>
                <w:szCs w:val="21"/>
                <w:lang w:val="en-US" w:eastAsia="zh" w:bidi="ar"/>
                <w:woUserID w:val="3"/>
              </w:rPr>
              <w:t>9</w:t>
            </w:r>
            <w:r>
              <w:rPr>
                <w:rFonts w:hint="default" w:ascii="宋体" w:hAnsi="宋体"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附近。原料价格</w:t>
            </w:r>
            <w:r>
              <w:rPr>
                <w:rFonts w:hint="eastAsia" w:ascii="宋体" w:hAnsi="宋体" w:cs="宋体"/>
                <w:b w:val="0"/>
                <w:bCs/>
                <w:kern w:val="2"/>
                <w:sz w:val="21"/>
                <w:szCs w:val="21"/>
                <w:lang w:val="en-US" w:eastAsia="zh" w:bidi="ar"/>
                <w:woUserID w:val="3"/>
              </w:rPr>
              <w:t>反弹</w:t>
            </w:r>
            <w:r>
              <w:rPr>
                <w:rFonts w:hint="eastAsia" w:ascii="宋体" w:hAnsi="宋体" w:eastAsia="宋体" w:cs="宋体"/>
                <w:b w:val="0"/>
                <w:bCs/>
                <w:kern w:val="2"/>
                <w:sz w:val="21"/>
                <w:szCs w:val="21"/>
                <w:lang w:val="en-US" w:eastAsia="zh-CN" w:bidi="ar"/>
              </w:rPr>
              <w:t>，</w:t>
            </w:r>
            <w:r>
              <w:rPr>
                <w:rFonts w:hint="default" w:ascii="宋体" w:hAnsi="宋体" w:eastAsia="宋体" w:cs="宋体"/>
                <w:b w:val="0"/>
                <w:bCs/>
                <w:kern w:val="2"/>
                <w:sz w:val="21"/>
                <w:szCs w:val="21"/>
                <w:lang w:val="en-US" w:eastAsia="zh-CN" w:bidi="ar"/>
              </w:rPr>
              <w:t>PTA</w:t>
            </w:r>
            <w:r>
              <w:rPr>
                <w:rFonts w:hint="eastAsia" w:ascii="宋体" w:hAnsi="宋体" w:eastAsia="宋体" w:cs="宋体"/>
                <w:b w:val="0"/>
                <w:bCs/>
                <w:kern w:val="2"/>
                <w:sz w:val="21"/>
                <w:szCs w:val="21"/>
                <w:lang w:val="en-US" w:eastAsia="zh-CN" w:bidi="ar"/>
              </w:rPr>
              <w:t>供需改善，</w:t>
            </w:r>
            <w:r>
              <w:rPr>
                <w:rFonts w:hint="default" w:ascii="宋体" w:hAnsi="宋体" w:eastAsia="宋体" w:cs="宋体"/>
                <w:b w:val="0"/>
                <w:bCs/>
                <w:kern w:val="2"/>
                <w:sz w:val="21"/>
                <w:szCs w:val="21"/>
                <w:lang w:val="en-US" w:eastAsia="zh-CN" w:bidi="ar"/>
              </w:rPr>
              <w:t>PTA</w:t>
            </w:r>
            <w:r>
              <w:rPr>
                <w:rFonts w:hint="eastAsia" w:ascii="宋体" w:hAnsi="宋体" w:eastAsia="宋体" w:cs="宋体"/>
                <w:b w:val="0"/>
                <w:bCs/>
                <w:kern w:val="2"/>
                <w:sz w:val="21"/>
                <w:szCs w:val="21"/>
                <w:lang w:val="en-US" w:eastAsia="zh-CN" w:bidi="ar"/>
              </w:rPr>
              <w:t>价格跟随原料端波动为主。</w:t>
            </w:r>
          </w:p>
          <w:p w14:paraId="7C2F3352">
            <w:pPr>
              <w:keepNext w:val="0"/>
              <w:keepLines w:val="0"/>
              <w:widowControl w:val="0"/>
              <w:suppressLineNumbers w:val="0"/>
              <w:spacing w:before="0" w:beforeAutospacing="0" w:after="0" w:afterAutospacing="0"/>
              <w:ind w:left="0" w:right="0"/>
              <w:jc w:val="both"/>
              <w:rPr>
                <w:rFonts w:hint="eastAsia" w:ascii="宋体" w:hAnsi="宋体" w:eastAsia="宋体" w:cs="宋体"/>
                <w:b w:val="0"/>
                <w:bCs/>
                <w:kern w:val="2"/>
                <w:sz w:val="21"/>
                <w:szCs w:val="21"/>
                <w:lang w:val="en-US" w:eastAsia="zh-CN" w:bidi="ar"/>
              </w:rPr>
            </w:pPr>
            <w:r>
              <w:rPr>
                <w:rFonts w:hint="default" w:ascii="Calibri" w:hAnsi="Calibri" w:eastAsia="宋体" w:cs="Calibri"/>
                <w:b/>
                <w:bCs/>
                <w:kern w:val="2"/>
                <w:sz w:val="21"/>
                <w:szCs w:val="21"/>
                <w:lang w:val="en-US" w:eastAsia="zh-CN" w:bidi="ar"/>
              </w:rPr>
              <w:t>MEG</w:t>
            </w:r>
            <w:r>
              <w:rPr>
                <w:rFonts w:hint="default" w:ascii="Calibri" w:hAnsi="Calibri" w:eastAsia="宋体" w:cs="Calibri"/>
                <w:b w:val="0"/>
                <w:bCs w:val="0"/>
                <w:kern w:val="2"/>
                <w:sz w:val="21"/>
                <w:szCs w:val="21"/>
                <w:lang w:val="en-US" w:eastAsia="zh-CN" w:bidi="ar"/>
              </w:rPr>
              <w:t xml:space="preserve">: </w:t>
            </w:r>
            <w:r>
              <w:rPr>
                <w:rFonts w:hint="eastAsia" w:ascii="宋体" w:hAnsi="宋体" w:eastAsia="宋体" w:cs="宋体"/>
                <w:b w:val="0"/>
                <w:bCs/>
                <w:kern w:val="2"/>
                <w:sz w:val="21"/>
                <w:szCs w:val="21"/>
                <w:lang w:val="en-US" w:eastAsia="zh-CN" w:bidi="ar"/>
              </w:rPr>
              <w:t>国产</w:t>
            </w:r>
            <w:r>
              <w:rPr>
                <w:rFonts w:hint="default" w:ascii="宋体" w:hAnsi="宋体" w:eastAsia="宋体" w:cs="宋体"/>
                <w:b w:val="0"/>
                <w:bCs/>
                <w:kern w:val="2"/>
                <w:sz w:val="21"/>
                <w:szCs w:val="21"/>
                <w:lang w:val="en-US" w:eastAsia="zh-CN" w:bidi="ar"/>
              </w:rPr>
              <w:t>MEG</w:t>
            </w:r>
            <w:r>
              <w:rPr>
                <w:rFonts w:hint="eastAsia" w:ascii="宋体" w:hAnsi="宋体" w:eastAsia="宋体" w:cs="宋体"/>
                <w:b w:val="0"/>
                <w:bCs/>
                <w:kern w:val="2"/>
                <w:sz w:val="21"/>
                <w:szCs w:val="21"/>
                <w:lang w:val="en-US" w:eastAsia="zh-CN" w:bidi="ar"/>
              </w:rPr>
              <w:t>负荷回升至</w:t>
            </w:r>
            <w:r>
              <w:rPr>
                <w:rFonts w:hint="default" w:ascii="宋体" w:hAnsi="宋体" w:eastAsia="宋体" w:cs="宋体"/>
                <w:b w:val="0"/>
                <w:bCs/>
                <w:kern w:val="2"/>
                <w:sz w:val="21"/>
                <w:szCs w:val="21"/>
                <w:lang w:val="en-US" w:eastAsia="zh-CN" w:bidi="ar"/>
              </w:rPr>
              <w:t>73%</w:t>
            </w:r>
            <w:r>
              <w:rPr>
                <w:rFonts w:hint="eastAsia" w:ascii="宋体" w:hAnsi="宋体" w:eastAsia="宋体" w:cs="宋体"/>
                <w:b w:val="0"/>
                <w:bCs/>
                <w:kern w:val="2"/>
                <w:sz w:val="21"/>
                <w:szCs w:val="21"/>
                <w:lang w:val="en-US" w:eastAsia="zh-CN" w:bidi="ar"/>
              </w:rPr>
              <w:t>附近，上周港口</w:t>
            </w:r>
            <w:r>
              <w:rPr>
                <w:rFonts w:hint="eastAsia" w:ascii="宋体" w:hAnsi="宋体" w:cs="宋体"/>
                <w:b w:val="0"/>
                <w:bCs/>
                <w:kern w:val="2"/>
                <w:sz w:val="21"/>
                <w:szCs w:val="21"/>
                <w:lang w:val="en-US" w:eastAsia="zh" w:bidi="ar"/>
                <w:woUserID w:val="3"/>
              </w:rPr>
              <w:t>略微去库</w:t>
            </w:r>
            <w:r>
              <w:rPr>
                <w:rFonts w:hint="eastAsia" w:ascii="宋体" w:hAnsi="宋体" w:eastAsia="宋体" w:cs="宋体"/>
                <w:b w:val="0"/>
                <w:bCs/>
                <w:kern w:val="2"/>
                <w:sz w:val="21"/>
                <w:szCs w:val="21"/>
                <w:lang w:val="en-US" w:eastAsia="zh-CN" w:bidi="ar"/>
              </w:rPr>
              <w:t>；聚酯负荷回升至</w:t>
            </w:r>
            <w:r>
              <w:rPr>
                <w:rFonts w:hint="default" w:ascii="宋体" w:hAnsi="宋体" w:eastAsia="宋体" w:cs="宋体"/>
                <w:b w:val="0"/>
                <w:bCs/>
                <w:kern w:val="2"/>
                <w:sz w:val="21"/>
                <w:szCs w:val="21"/>
                <w:lang w:val="en-US" w:eastAsia="zh-CN" w:bidi="ar"/>
              </w:rPr>
              <w:t>88</w:t>
            </w:r>
            <w:r>
              <w:rPr>
                <w:rFonts w:hint="eastAsia" w:ascii="宋体" w:hAnsi="宋体" w:cs="宋体"/>
                <w:b w:val="0"/>
                <w:bCs/>
                <w:kern w:val="2"/>
                <w:sz w:val="21"/>
                <w:szCs w:val="21"/>
                <w:lang w:val="en-US" w:eastAsia="zh-CN" w:bidi="ar"/>
              </w:rPr>
              <w:t>.</w:t>
            </w:r>
            <w:r>
              <w:rPr>
                <w:rFonts w:hint="eastAsia" w:ascii="宋体" w:hAnsi="宋体" w:cs="宋体"/>
                <w:b w:val="0"/>
                <w:bCs/>
                <w:kern w:val="2"/>
                <w:sz w:val="21"/>
                <w:szCs w:val="21"/>
                <w:lang w:val="en-US" w:eastAsia="zh" w:bidi="ar"/>
                <w:woUserID w:val="3"/>
              </w:rPr>
              <w:t>9</w:t>
            </w:r>
            <w:r>
              <w:rPr>
                <w:rFonts w:hint="default" w:ascii="宋体" w:hAnsi="宋体" w:eastAsia="宋体" w:cs="宋体"/>
                <w:b w:val="0"/>
                <w:bCs/>
                <w:kern w:val="2"/>
                <w:sz w:val="21"/>
                <w:szCs w:val="21"/>
                <w:lang w:val="en-US" w:eastAsia="zh-CN" w:bidi="ar"/>
              </w:rPr>
              <w:t>%</w:t>
            </w:r>
            <w:r>
              <w:rPr>
                <w:rFonts w:hint="eastAsia" w:ascii="宋体" w:hAnsi="宋体" w:eastAsia="宋体" w:cs="宋体"/>
                <w:b w:val="0"/>
                <w:bCs/>
                <w:kern w:val="2"/>
                <w:sz w:val="21"/>
                <w:szCs w:val="21"/>
                <w:lang w:val="en-US" w:eastAsia="zh-CN" w:bidi="ar"/>
              </w:rPr>
              <w:t>附近；原油</w:t>
            </w:r>
            <w:r>
              <w:rPr>
                <w:rFonts w:hint="eastAsia" w:ascii="宋体" w:hAnsi="宋体" w:cs="宋体"/>
                <w:b w:val="0"/>
                <w:bCs/>
                <w:kern w:val="2"/>
                <w:sz w:val="21"/>
                <w:szCs w:val="21"/>
                <w:lang w:val="en-US" w:eastAsia="zh" w:bidi="ar"/>
                <w:woUserID w:val="3"/>
              </w:rPr>
              <w:t>反弹</w:t>
            </w:r>
            <w:r>
              <w:rPr>
                <w:rFonts w:hint="eastAsia" w:ascii="宋体" w:hAnsi="宋体" w:eastAsia="宋体" w:cs="宋体"/>
                <w:b w:val="0"/>
                <w:bCs/>
                <w:kern w:val="2"/>
                <w:sz w:val="21"/>
                <w:szCs w:val="21"/>
                <w:lang w:val="en-US" w:eastAsia="zh-CN" w:bidi="ar"/>
              </w:rPr>
              <w:t>，动煤现货偏弱，东北亚乙烯</w:t>
            </w:r>
            <w:r>
              <w:rPr>
                <w:rFonts w:hint="eastAsia" w:ascii="宋体" w:hAnsi="宋体" w:cs="宋体"/>
                <w:b w:val="0"/>
                <w:bCs/>
                <w:kern w:val="2"/>
                <w:sz w:val="21"/>
                <w:szCs w:val="21"/>
                <w:lang w:val="en-US" w:eastAsia="zh" w:bidi="ar"/>
                <w:woUserID w:val="3"/>
              </w:rPr>
              <w:t>震荡</w:t>
            </w:r>
            <w:r>
              <w:rPr>
                <w:rFonts w:hint="eastAsia" w:ascii="宋体" w:hAnsi="宋体" w:eastAsia="宋体" w:cs="宋体"/>
                <w:b w:val="0"/>
                <w:bCs/>
                <w:kern w:val="2"/>
                <w:sz w:val="21"/>
                <w:szCs w:val="21"/>
                <w:lang w:val="en-US" w:eastAsia="zh-CN" w:bidi="ar"/>
              </w:rPr>
              <w:t>，原料端</w:t>
            </w:r>
            <w:r>
              <w:rPr>
                <w:rFonts w:hint="eastAsia" w:ascii="宋体" w:hAnsi="宋体" w:cs="宋体"/>
                <w:b w:val="0"/>
                <w:bCs/>
                <w:kern w:val="2"/>
                <w:sz w:val="21"/>
                <w:szCs w:val="21"/>
                <w:lang w:val="en-US" w:eastAsia="zh" w:bidi="ar"/>
                <w:woUserID w:val="3"/>
              </w:rPr>
              <w:t>分化</w:t>
            </w:r>
            <w:r>
              <w:rPr>
                <w:rFonts w:hint="eastAsia" w:ascii="宋体" w:hAnsi="宋体" w:eastAsia="宋体" w:cs="宋体"/>
                <w:b w:val="0"/>
                <w:bCs/>
                <w:kern w:val="2"/>
                <w:sz w:val="21"/>
                <w:szCs w:val="21"/>
                <w:lang w:val="en-US" w:eastAsia="zh-CN" w:bidi="ar"/>
              </w:rPr>
              <w:t>，</w:t>
            </w:r>
            <w:r>
              <w:rPr>
                <w:rFonts w:hint="default" w:ascii="宋体" w:hAnsi="宋体" w:eastAsia="宋体" w:cs="宋体"/>
                <w:b w:val="0"/>
                <w:bCs/>
                <w:kern w:val="2"/>
                <w:sz w:val="21"/>
                <w:szCs w:val="21"/>
                <w:lang w:val="en-US" w:eastAsia="zh-CN" w:bidi="ar"/>
              </w:rPr>
              <w:t>EG</w:t>
            </w:r>
            <w:r>
              <w:rPr>
                <w:rFonts w:hint="eastAsia" w:ascii="宋体" w:hAnsi="宋体" w:eastAsia="宋体" w:cs="宋体"/>
                <w:b w:val="0"/>
                <w:bCs/>
                <w:kern w:val="2"/>
                <w:sz w:val="21"/>
                <w:szCs w:val="21"/>
                <w:lang w:val="en-US" w:eastAsia="zh-CN" w:bidi="ar"/>
              </w:rPr>
              <w:t>社库</w:t>
            </w:r>
            <w:r>
              <w:rPr>
                <w:rFonts w:hint="eastAsia" w:ascii="宋体" w:hAnsi="宋体" w:cs="宋体"/>
                <w:b w:val="0"/>
                <w:bCs/>
                <w:kern w:val="2"/>
                <w:sz w:val="21"/>
                <w:szCs w:val="21"/>
                <w:lang w:val="en-US" w:eastAsia="zh" w:bidi="ar"/>
                <w:woUserID w:val="3"/>
              </w:rPr>
              <w:t>去化</w:t>
            </w:r>
            <w:r>
              <w:rPr>
                <w:rFonts w:hint="eastAsia" w:ascii="宋体" w:hAnsi="宋体" w:eastAsia="宋体" w:cs="宋体"/>
                <w:b w:val="0"/>
                <w:bCs/>
                <w:kern w:val="2"/>
                <w:sz w:val="21"/>
                <w:szCs w:val="21"/>
                <w:lang w:val="en-US" w:eastAsia="zh-CN" w:bidi="ar"/>
              </w:rPr>
              <w:t>，后期有望改善，短期盘面承压震荡。</w:t>
            </w:r>
          </w:p>
          <w:p w14:paraId="6898EE19">
            <w:pPr>
              <w:keepNext w:val="0"/>
              <w:keepLines w:val="0"/>
              <w:widowControl w:val="0"/>
              <w:suppressLineNumbers w:val="0"/>
              <w:spacing w:before="0" w:beforeAutospacing="0" w:after="0" w:afterAutospacing="0"/>
              <w:ind w:left="0" w:right="0"/>
              <w:jc w:val="both"/>
              <w:rPr>
                <w:rFonts w:hint="eastAsia" w:ascii="宋体" w:hAnsi="宋体" w:eastAsia="宋体" w:cs="宋体"/>
                <w:b w:val="0"/>
                <w:bCs w:val="0"/>
                <w:kern w:val="2"/>
                <w:sz w:val="21"/>
                <w:szCs w:val="21"/>
                <w:lang w:val="en-US" w:eastAsia="zh-CN" w:bidi="ar"/>
                <w:woUserID w:val="3"/>
              </w:rPr>
            </w:pPr>
            <w:r>
              <w:rPr>
                <w:rFonts w:hint="default" w:ascii="Calibri" w:hAnsi="Calibri" w:eastAsia="宋体" w:cs="Calibri"/>
                <w:b/>
                <w:bCs/>
                <w:kern w:val="2"/>
                <w:sz w:val="21"/>
                <w:szCs w:val="21"/>
                <w:lang w:val="en-US" w:eastAsia="zh-CN" w:bidi="ar"/>
              </w:rPr>
              <w:t>PR</w:t>
            </w:r>
            <w:r>
              <w:rPr>
                <w:rFonts w:hint="eastAsia" w:ascii="宋体" w:hAnsi="宋体" w:eastAsia="宋体" w:cs="宋体"/>
                <w:b w:val="0"/>
                <w:bCs w:val="0"/>
                <w:kern w:val="2"/>
                <w:sz w:val="21"/>
                <w:szCs w:val="21"/>
                <w:lang w:val="en-US" w:eastAsia="zh-CN" w:bidi="ar"/>
              </w:rPr>
              <w:t>：</w:t>
            </w:r>
            <w:r>
              <w:rPr>
                <w:rFonts w:hint="eastAsia" w:ascii="宋体" w:hAnsi="宋体" w:eastAsia="宋体" w:cs="宋体"/>
                <w:i w:val="0"/>
                <w:iCs w:val="0"/>
                <w:caps w:val="0"/>
                <w:color w:val="000000"/>
                <w:spacing w:val="0"/>
                <w:sz w:val="24"/>
                <w:szCs w:val="24"/>
                <w:woUserID w:val="3"/>
              </w:rPr>
              <w:t>油价继续上行，然业内情绪较悲观，实单跟进有限，聚酯瓶片市场或横盘震荡整理。</w:t>
            </w:r>
          </w:p>
          <w:p w14:paraId="028F4B07">
            <w:pPr>
              <w:keepNext w:val="0"/>
              <w:keepLines w:val="0"/>
              <w:widowControl w:val="0"/>
              <w:suppressLineNumbers w:val="0"/>
              <w:spacing w:before="0" w:beforeAutospacing="0" w:after="0" w:afterAutospacing="0"/>
              <w:ind w:left="0" w:right="0"/>
              <w:jc w:val="both"/>
              <w:rPr>
                <w:rFonts w:hint="eastAsia" w:ascii="Calibri" w:hAnsi="Calibri" w:eastAsia="宋体" w:cs="Times New Roman"/>
                <w:b w:val="0"/>
                <w:bCs w:val="0"/>
                <w:kern w:val="2"/>
                <w:sz w:val="21"/>
                <w:szCs w:val="24"/>
                <w:lang w:val="en-US" w:eastAsia="zh"/>
                <w:woUserID w:val="2"/>
              </w:rPr>
            </w:pPr>
            <w:r>
              <w:rPr>
                <w:rFonts w:hint="default" w:ascii="Calibri" w:hAnsi="Calibri" w:eastAsia="宋体" w:cs="Calibri"/>
                <w:b/>
                <w:bCs/>
                <w:kern w:val="2"/>
                <w:sz w:val="21"/>
                <w:szCs w:val="21"/>
                <w:lang w:val="en-US" w:eastAsia="zh-CN" w:bidi="ar"/>
              </w:rPr>
              <w:t>PF</w:t>
            </w:r>
            <w:r>
              <w:rPr>
                <w:rFonts w:hint="default" w:ascii="Calibri" w:hAnsi="Calibri" w:eastAsia="宋体" w:cs="Calibri"/>
                <w:b w:val="0"/>
                <w:bCs w:val="0"/>
                <w:kern w:val="2"/>
                <w:sz w:val="21"/>
                <w:szCs w:val="21"/>
                <w:lang w:val="en-US" w:eastAsia="zh-CN" w:bidi="ar"/>
              </w:rPr>
              <w:t xml:space="preserve">: </w:t>
            </w:r>
            <w:r>
              <w:rPr>
                <w:rFonts w:hint="eastAsia" w:ascii="宋体" w:hAnsi="宋体" w:eastAsia="宋体" w:cs="宋体"/>
                <w:i w:val="0"/>
                <w:iCs w:val="0"/>
                <w:caps w:val="0"/>
                <w:color w:val="000000"/>
                <w:spacing w:val="0"/>
                <w:sz w:val="24"/>
                <w:szCs w:val="24"/>
                <w:woUserID w:val="3"/>
              </w:rPr>
              <w:t>虽需求端表现偏弱；但油价反弹，且涤纶短纤现货价已处历年同期最低水平，预计今日短纤市场或窄幅整理。</w:t>
            </w:r>
          </w:p>
        </w:tc>
      </w:tr>
      <w:tr w14:paraId="476D9006">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00" w:hRule="atLeast"/>
          <w:jc w:val="center"/>
        </w:trPr>
        <w:tc>
          <w:tcPr>
            <w:tcW w:w="631" w:type="dxa"/>
            <w:vMerge w:val="continue"/>
            <w:vAlign w:val="center"/>
          </w:tcPr>
          <w:p w14:paraId="4AEDFEB2">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p>
        </w:tc>
        <w:tc>
          <w:tcPr>
            <w:tcW w:w="1397" w:type="dxa"/>
            <w:vAlign w:val="center"/>
          </w:tcPr>
          <w:p w14:paraId="57DB3448">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eastAsia="宋体" w:cs="宋体"/>
                <w:szCs w:val="21"/>
              </w:rPr>
              <w:t>PTA</w:t>
            </w:r>
          </w:p>
        </w:tc>
        <w:tc>
          <w:tcPr>
            <w:tcW w:w="1254" w:type="dxa"/>
            <w:vAlign w:val="center"/>
          </w:tcPr>
          <w:p w14:paraId="484FB1FD">
            <w:pPr>
              <w:keepNext w:val="0"/>
              <w:keepLines w:val="0"/>
              <w:suppressLineNumbers w:val="0"/>
              <w:spacing w:before="0" w:beforeAutospacing="0" w:after="0" w:afterAutospacing="0" w:line="276" w:lineRule="auto"/>
              <w:ind w:left="0" w:right="0"/>
              <w:jc w:val="center"/>
              <w:rPr>
                <w:rFonts w:hint="eastAsia" w:ascii="宋体" w:hAnsi="宋体" w:eastAsia="宋体" w:cs="宋体"/>
                <w:szCs w:val="21"/>
              </w:rPr>
            </w:pPr>
            <w:r>
              <w:rPr>
                <w:rFonts w:hint="eastAsia" w:ascii="宋体" w:hAnsi="宋体" w:eastAsia="宋体" w:cs="宋体"/>
                <w:szCs w:val="21"/>
              </w:rPr>
              <w:t>宽幅震荡</w:t>
            </w:r>
          </w:p>
        </w:tc>
        <w:tc>
          <w:tcPr>
            <w:tcW w:w="6804" w:type="dxa"/>
            <w:vMerge w:val="continue"/>
            <w:shd w:val="clear" w:color="auto" w:fill="auto"/>
          </w:tcPr>
          <w:p w14:paraId="4EBD9BCE">
            <w:pPr>
              <w:keepNext w:val="0"/>
              <w:keepLines w:val="0"/>
              <w:widowControl/>
              <w:suppressLineNumbers w:val="0"/>
              <w:spacing w:before="0" w:beforeAutospacing="0" w:after="0" w:afterAutospacing="0"/>
              <w:ind w:left="0" w:right="0"/>
              <w:jc w:val="left"/>
              <w:rPr>
                <w:rFonts w:hint="default" w:ascii="宋体" w:hAnsi="宋体"/>
                <w:b/>
                <w:i/>
                <w:iCs/>
                <w:szCs w:val="21"/>
              </w:rPr>
            </w:pPr>
          </w:p>
        </w:tc>
      </w:tr>
      <w:tr w14:paraId="33D3347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880" w:hRule="atLeast"/>
          <w:jc w:val="center"/>
        </w:trPr>
        <w:tc>
          <w:tcPr>
            <w:tcW w:w="631" w:type="dxa"/>
            <w:vMerge w:val="continue"/>
            <w:vAlign w:val="center"/>
          </w:tcPr>
          <w:p w14:paraId="60A1EBCE">
            <w:pPr>
              <w:keepNext w:val="0"/>
              <w:keepLines w:val="0"/>
              <w:suppressLineNumbers w:val="0"/>
              <w:spacing w:before="0" w:beforeAutospacing="0" w:after="0" w:afterAutospacing="0" w:line="276" w:lineRule="auto"/>
              <w:ind w:left="0" w:right="0"/>
              <w:jc w:val="center"/>
              <w:rPr>
                <w:rFonts w:hint="default" w:ascii="宋体" w:hAnsi="宋体"/>
                <w:b/>
                <w:sz w:val="24"/>
                <w:szCs w:val="21"/>
              </w:rPr>
            </w:pPr>
          </w:p>
        </w:tc>
        <w:tc>
          <w:tcPr>
            <w:tcW w:w="1397" w:type="dxa"/>
            <w:vAlign w:val="center"/>
          </w:tcPr>
          <w:p w14:paraId="5DBAC6AE">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eastAsia="宋体" w:cs="宋体"/>
                <w:szCs w:val="21"/>
              </w:rPr>
              <w:t>MEG</w:t>
            </w:r>
          </w:p>
        </w:tc>
        <w:tc>
          <w:tcPr>
            <w:tcW w:w="1254" w:type="dxa"/>
            <w:vAlign w:val="center"/>
          </w:tcPr>
          <w:p w14:paraId="52510949">
            <w:pPr>
              <w:keepNext w:val="0"/>
              <w:keepLines w:val="0"/>
              <w:suppressLineNumbers w:val="0"/>
              <w:spacing w:before="0" w:beforeAutospacing="0" w:after="0" w:afterAutospacing="0" w:line="276" w:lineRule="auto"/>
              <w:ind w:left="0" w:right="0"/>
              <w:jc w:val="center"/>
              <w:rPr>
                <w:rFonts w:hint="eastAsia" w:ascii="宋体" w:hAnsi="宋体" w:eastAsia="宋体" w:cs="宋体"/>
                <w:szCs w:val="21"/>
              </w:rPr>
            </w:pPr>
            <w:r>
              <w:rPr>
                <w:rFonts w:hint="eastAsia" w:ascii="宋体" w:hAnsi="宋体" w:eastAsia="宋体" w:cs="宋体"/>
                <w:szCs w:val="21"/>
              </w:rPr>
              <w:t>逢低做多</w:t>
            </w:r>
          </w:p>
        </w:tc>
        <w:tc>
          <w:tcPr>
            <w:tcW w:w="6804" w:type="dxa"/>
            <w:vMerge w:val="continue"/>
            <w:shd w:val="clear" w:color="auto" w:fill="auto"/>
          </w:tcPr>
          <w:p w14:paraId="07CCC450">
            <w:pPr>
              <w:keepNext w:val="0"/>
              <w:keepLines w:val="0"/>
              <w:widowControl/>
              <w:suppressLineNumbers w:val="0"/>
              <w:spacing w:before="0" w:beforeAutospacing="0" w:after="0" w:afterAutospacing="0"/>
              <w:ind w:left="0" w:right="0"/>
              <w:jc w:val="left"/>
              <w:rPr>
                <w:rFonts w:hint="default" w:ascii="宋体" w:hAnsi="宋体"/>
                <w:b/>
                <w:i/>
                <w:iCs/>
                <w:szCs w:val="21"/>
              </w:rPr>
            </w:pPr>
          </w:p>
        </w:tc>
      </w:tr>
      <w:tr w14:paraId="1219A3E4">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20" w:hRule="atLeast"/>
          <w:jc w:val="center"/>
        </w:trPr>
        <w:tc>
          <w:tcPr>
            <w:tcW w:w="631" w:type="dxa"/>
            <w:vMerge w:val="continue"/>
            <w:vAlign w:val="center"/>
          </w:tcPr>
          <w:p w14:paraId="7244BD18">
            <w:pPr>
              <w:keepNext w:val="0"/>
              <w:keepLines w:val="0"/>
              <w:suppressLineNumbers w:val="0"/>
              <w:spacing w:before="0" w:beforeAutospacing="0" w:after="0" w:afterAutospacing="0" w:line="276" w:lineRule="auto"/>
              <w:ind w:left="0" w:right="0"/>
              <w:rPr>
                <w:rFonts w:hint="default" w:ascii="宋体" w:hAnsi="宋体"/>
                <w:color w:val="000000"/>
                <w:szCs w:val="21"/>
              </w:rPr>
            </w:pPr>
          </w:p>
        </w:tc>
        <w:tc>
          <w:tcPr>
            <w:tcW w:w="1397" w:type="dxa"/>
            <w:vAlign w:val="center"/>
          </w:tcPr>
          <w:p w14:paraId="72C61B05">
            <w:pPr>
              <w:keepNext w:val="0"/>
              <w:keepLines w:val="0"/>
              <w:suppressLineNumbers w:val="0"/>
              <w:spacing w:before="0" w:beforeAutospacing="0" w:after="0" w:afterAutospacing="0" w:line="276" w:lineRule="auto"/>
              <w:ind w:left="0" w:right="0"/>
              <w:jc w:val="center"/>
              <w:rPr>
                <w:rFonts w:hint="eastAsia" w:ascii="宋体" w:hAnsi="宋体" w:eastAsia="宋体" w:cs="宋体"/>
                <w:szCs w:val="21"/>
              </w:rPr>
            </w:pPr>
            <w:r>
              <w:rPr>
                <w:rFonts w:hint="eastAsia" w:ascii="宋体" w:hAnsi="宋体" w:cs="宋体"/>
                <w:szCs w:val="21"/>
              </w:rPr>
              <w:t>PR</w:t>
            </w:r>
          </w:p>
        </w:tc>
        <w:tc>
          <w:tcPr>
            <w:tcW w:w="1254" w:type="dxa"/>
            <w:vAlign w:val="center"/>
          </w:tcPr>
          <w:p w14:paraId="1E190013">
            <w:pPr>
              <w:keepNext w:val="0"/>
              <w:keepLines w:val="0"/>
              <w:suppressLineNumbers w:val="0"/>
              <w:spacing w:before="0" w:beforeAutospacing="0" w:after="0" w:afterAutospacing="0" w:line="276" w:lineRule="auto"/>
              <w:ind w:left="0" w:right="0"/>
              <w:jc w:val="center"/>
              <w:rPr>
                <w:rFonts w:hint="eastAsia" w:ascii="宋体" w:hAnsi="宋体" w:eastAsia="宋体" w:cs="宋体"/>
                <w:szCs w:val="21"/>
              </w:rPr>
            </w:pPr>
            <w:r>
              <w:rPr>
                <w:rFonts w:hint="eastAsia" w:ascii="宋体" w:hAnsi="宋体" w:eastAsia="宋体" w:cs="宋体"/>
                <w:szCs w:val="21"/>
              </w:rPr>
              <w:t>观望</w:t>
            </w:r>
          </w:p>
        </w:tc>
        <w:tc>
          <w:tcPr>
            <w:tcW w:w="6804" w:type="dxa"/>
            <w:vMerge w:val="continue"/>
            <w:shd w:val="clear" w:color="auto" w:fill="auto"/>
          </w:tcPr>
          <w:p w14:paraId="312C23C2">
            <w:pPr>
              <w:keepNext w:val="0"/>
              <w:keepLines w:val="0"/>
              <w:widowControl/>
              <w:suppressLineNumbers w:val="0"/>
              <w:spacing w:before="0" w:beforeAutospacing="0" w:after="0" w:afterAutospacing="0"/>
              <w:ind w:left="0" w:right="0"/>
              <w:jc w:val="left"/>
              <w:rPr>
                <w:rFonts w:hint="default" w:ascii="宋体" w:hAnsi="宋体"/>
                <w:b/>
                <w:i/>
                <w:iCs/>
                <w:szCs w:val="21"/>
              </w:rPr>
            </w:pPr>
          </w:p>
        </w:tc>
      </w:tr>
      <w:tr w14:paraId="56413F4F">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920" w:hRule="atLeast"/>
          <w:jc w:val="center"/>
        </w:trPr>
        <w:tc>
          <w:tcPr>
            <w:tcW w:w="631" w:type="dxa"/>
            <w:vMerge w:val="continue"/>
            <w:vAlign w:val="center"/>
          </w:tcPr>
          <w:p w14:paraId="65BB4070">
            <w:pPr>
              <w:keepNext w:val="0"/>
              <w:keepLines w:val="0"/>
              <w:suppressLineNumbers w:val="0"/>
              <w:spacing w:before="0" w:beforeAutospacing="0" w:after="0" w:afterAutospacing="0" w:line="276" w:lineRule="auto"/>
              <w:ind w:left="0" w:right="0"/>
              <w:rPr>
                <w:rFonts w:hint="default" w:ascii="宋体" w:hAnsi="宋体"/>
                <w:color w:val="000000"/>
                <w:szCs w:val="21"/>
              </w:rPr>
            </w:pPr>
          </w:p>
        </w:tc>
        <w:tc>
          <w:tcPr>
            <w:tcW w:w="1397" w:type="dxa"/>
            <w:vAlign w:val="center"/>
          </w:tcPr>
          <w:p w14:paraId="0883EACE">
            <w:pPr>
              <w:keepNext w:val="0"/>
              <w:keepLines w:val="0"/>
              <w:suppressLineNumbers w:val="0"/>
              <w:spacing w:before="0" w:beforeAutospacing="0" w:after="0" w:afterAutospacing="0" w:line="276" w:lineRule="auto"/>
              <w:ind w:left="0" w:right="0"/>
              <w:jc w:val="center"/>
              <w:rPr>
                <w:rFonts w:hint="eastAsia" w:ascii="宋体" w:hAnsi="宋体" w:eastAsia="宋体" w:cs="宋体"/>
                <w:szCs w:val="21"/>
              </w:rPr>
            </w:pPr>
            <w:r>
              <w:rPr>
                <w:rFonts w:hint="eastAsia" w:ascii="宋体" w:hAnsi="宋体" w:cs="宋体"/>
                <w:szCs w:val="21"/>
              </w:rPr>
              <w:t>PF</w:t>
            </w:r>
          </w:p>
        </w:tc>
        <w:tc>
          <w:tcPr>
            <w:tcW w:w="1254" w:type="dxa"/>
            <w:vAlign w:val="center"/>
          </w:tcPr>
          <w:p w14:paraId="10EC269F">
            <w:pPr>
              <w:keepNext w:val="0"/>
              <w:keepLines w:val="0"/>
              <w:suppressLineNumbers w:val="0"/>
              <w:spacing w:before="0" w:beforeAutospacing="0" w:after="0" w:afterAutospacing="0" w:line="276" w:lineRule="auto"/>
              <w:ind w:left="0" w:right="0"/>
              <w:jc w:val="center"/>
              <w:rPr>
                <w:rFonts w:hint="default" w:ascii="宋体" w:hAnsi="宋体" w:eastAsia="宋体" w:cs="宋体"/>
                <w:szCs w:val="21"/>
              </w:rPr>
            </w:pPr>
            <w:r>
              <w:rPr>
                <w:rFonts w:hint="eastAsia" w:ascii="宋体" w:hAnsi="宋体" w:eastAsia="宋体" w:cs="宋体"/>
                <w:szCs w:val="21"/>
              </w:rPr>
              <w:t>逢低做多加工差</w:t>
            </w:r>
          </w:p>
        </w:tc>
        <w:tc>
          <w:tcPr>
            <w:tcW w:w="6804" w:type="dxa"/>
            <w:vMerge w:val="continue"/>
            <w:shd w:val="clear" w:color="auto" w:fill="auto"/>
          </w:tcPr>
          <w:p w14:paraId="43C7C86C">
            <w:pPr>
              <w:keepNext w:val="0"/>
              <w:keepLines w:val="0"/>
              <w:widowControl/>
              <w:suppressLineNumbers w:val="0"/>
              <w:spacing w:before="0" w:beforeAutospacing="0" w:after="0" w:afterAutospacing="0"/>
              <w:ind w:left="0" w:right="0"/>
              <w:jc w:val="left"/>
              <w:rPr>
                <w:rFonts w:hint="default" w:ascii="宋体" w:hAnsi="宋体"/>
                <w:b/>
                <w:i/>
                <w:iCs/>
                <w:szCs w:val="21"/>
              </w:rPr>
            </w:pPr>
          </w:p>
        </w:tc>
      </w:tr>
      <w:tr w14:paraId="33EF2A07">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986" w:hRule="atLeast"/>
          <w:jc w:val="center"/>
        </w:trPr>
        <w:tc>
          <w:tcPr>
            <w:tcW w:w="631" w:type="dxa"/>
            <w:vMerge w:val="continue"/>
            <w:vAlign w:val="center"/>
          </w:tcPr>
          <w:p w14:paraId="14A8E523">
            <w:pPr>
              <w:keepNext w:val="0"/>
              <w:keepLines w:val="0"/>
              <w:suppressLineNumbers w:val="0"/>
              <w:spacing w:before="0" w:beforeAutospacing="0" w:after="0" w:afterAutospacing="0"/>
              <w:ind w:left="0" w:right="0"/>
              <w:rPr>
                <w:rFonts w:hint="default" w:ascii="宋体" w:hAnsi="宋体"/>
                <w:szCs w:val="21"/>
              </w:rPr>
            </w:pPr>
          </w:p>
        </w:tc>
        <w:tc>
          <w:tcPr>
            <w:tcW w:w="1397" w:type="dxa"/>
            <w:vAlign w:val="center"/>
          </w:tcPr>
          <w:p w14:paraId="0F3567C2">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塑料</w:t>
            </w:r>
          </w:p>
        </w:tc>
        <w:tc>
          <w:tcPr>
            <w:tcW w:w="1254" w:type="dxa"/>
            <w:vAlign w:val="center"/>
          </w:tcPr>
          <w:p w14:paraId="4EC46F61">
            <w:pPr>
              <w:keepNext w:val="0"/>
              <w:keepLines w:val="0"/>
              <w:suppressLineNumbers w:val="0"/>
              <w:spacing w:before="0" w:beforeAutospacing="0" w:after="0" w:afterAutospacing="0"/>
              <w:ind w:left="0" w:right="0"/>
              <w:jc w:val="center"/>
              <w:rPr>
                <w:rFonts w:hint="eastAsia" w:ascii="宋体" w:hAnsi="宋体"/>
                <w:b w:val="0"/>
                <w:bCs w:val="0"/>
                <w:szCs w:val="21"/>
              </w:rPr>
            </w:pPr>
          </w:p>
          <w:p w14:paraId="08D3EEA3">
            <w:pPr>
              <w:keepNext w:val="0"/>
              <w:keepLines w:val="0"/>
              <w:suppressLineNumbers w:val="0"/>
              <w:spacing w:before="0" w:beforeAutospacing="0" w:after="0" w:afterAutospacing="0"/>
              <w:ind w:left="0" w:right="0"/>
              <w:jc w:val="center"/>
              <w:rPr>
                <w:rFonts w:hint="eastAsia" w:ascii="宋体" w:hAnsi="宋体"/>
                <w:b w:val="0"/>
                <w:bCs w:val="0"/>
                <w:szCs w:val="21"/>
              </w:rPr>
            </w:pPr>
            <w:r>
              <w:rPr>
                <w:rFonts w:hint="eastAsia" w:ascii="宋体" w:hAnsi="宋体"/>
                <w:b w:val="0"/>
                <w:bCs w:val="0"/>
                <w:szCs w:val="21"/>
              </w:rPr>
              <w:t>震荡</w:t>
            </w:r>
          </w:p>
          <w:p w14:paraId="4D798F73">
            <w:pPr>
              <w:keepNext w:val="0"/>
              <w:keepLines w:val="0"/>
              <w:suppressLineNumbers w:val="0"/>
              <w:spacing w:before="0" w:beforeAutospacing="0" w:after="0" w:afterAutospacing="0"/>
              <w:ind w:left="0" w:right="0"/>
              <w:jc w:val="center"/>
              <w:rPr>
                <w:rFonts w:hint="eastAsia" w:ascii="宋体" w:hAnsi="宋体" w:eastAsia="宋体"/>
                <w:b w:val="0"/>
                <w:bCs w:val="0"/>
                <w:szCs w:val="21"/>
                <w:lang w:eastAsia="zh"/>
                <w:woUserID w:val="7"/>
              </w:rPr>
            </w:pPr>
          </w:p>
        </w:tc>
        <w:tc>
          <w:tcPr>
            <w:tcW w:w="6804" w:type="dxa"/>
            <w:vMerge w:val="restart"/>
            <w:shd w:val="clear" w:color="auto" w:fill="auto"/>
          </w:tcPr>
          <w:p w14:paraId="3A92E3C2">
            <w:pPr>
              <w:keepNext w:val="0"/>
              <w:keepLines w:val="0"/>
              <w:widowControl/>
              <w:suppressLineNumbers w:val="0"/>
              <w:spacing w:before="0" w:beforeAutospacing="0" w:after="0" w:afterAutospacing="0"/>
              <w:ind w:left="0" w:right="0"/>
              <w:jc w:val="left"/>
              <w:rPr>
                <w:rFonts w:hint="eastAsia"/>
                <w:szCs w:val="20"/>
                <w:woUserID w:val="7"/>
              </w:rPr>
            </w:pPr>
            <w:r>
              <w:rPr>
                <w:rFonts w:hint="eastAsia"/>
                <w:b/>
                <w:bCs/>
                <w:szCs w:val="20"/>
                <w:woUserID w:val="7"/>
              </w:rPr>
              <w:t>塑料</w:t>
            </w:r>
            <w:r>
              <w:rPr>
                <w:rFonts w:hint="eastAsia"/>
                <w:szCs w:val="20"/>
                <w:woUserID w:val="7"/>
              </w:rPr>
              <w:t>：3月</w:t>
            </w:r>
            <w:r>
              <w:rPr>
                <w:rFonts w:hint="eastAsia"/>
                <w:szCs w:val="20"/>
                <w:lang w:eastAsia="zh"/>
                <w:woUserID w:val="7"/>
              </w:rPr>
              <w:t>12</w:t>
            </w:r>
            <w:r>
              <w:rPr>
                <w:rFonts w:hint="eastAsia"/>
                <w:szCs w:val="20"/>
                <w:woUserID w:val="7"/>
              </w:rPr>
              <w:t>日华北现货价格80</w:t>
            </w:r>
            <w:r>
              <w:rPr>
                <w:rFonts w:hint="eastAsia"/>
                <w:szCs w:val="20"/>
                <w:lang w:eastAsia="zh"/>
                <w:woUserID w:val="7"/>
              </w:rPr>
              <w:t>2</w:t>
            </w:r>
            <w:r>
              <w:rPr>
                <w:rFonts w:hint="eastAsia"/>
                <w:szCs w:val="20"/>
                <w:woUserID w:val="7"/>
              </w:rPr>
              <w:t>0-8140，价格</w:t>
            </w:r>
            <w:r>
              <w:rPr>
                <w:rFonts w:hint="eastAsia"/>
                <w:szCs w:val="20"/>
                <w:lang w:eastAsia="zh"/>
                <w:woUserID w:val="7"/>
              </w:rPr>
              <w:t>下跌</w:t>
            </w:r>
            <w:r>
              <w:rPr>
                <w:rFonts w:hint="eastAsia"/>
                <w:szCs w:val="20"/>
                <w:woUserID w:val="7"/>
              </w:rPr>
              <w:t>。基差150-250之间，基差持稳，刚需成交。卓创PE检修</w:t>
            </w:r>
            <w:r>
              <w:rPr>
                <w:rFonts w:hint="eastAsia"/>
                <w:szCs w:val="20"/>
                <w:lang w:eastAsia="zh"/>
                <w:woUserID w:val="7"/>
              </w:rPr>
              <w:t>9.68</w:t>
            </w:r>
            <w:r>
              <w:rPr>
                <w:rFonts w:hint="eastAsia"/>
                <w:szCs w:val="20"/>
                <w:woUserID w:val="7"/>
              </w:rPr>
              <w:t>（</w:t>
            </w:r>
            <w:r>
              <w:rPr>
                <w:rFonts w:hint="eastAsia"/>
                <w:szCs w:val="20"/>
                <w:lang w:eastAsia="zh"/>
                <w:woUserID w:val="7"/>
              </w:rPr>
              <w:t>-0.86</w:t>
            </w:r>
            <w:r>
              <w:rPr>
                <w:rFonts w:hint="eastAsia"/>
                <w:szCs w:val="20"/>
                <w:woUserID w:val="7"/>
              </w:rPr>
              <w:t>）。石化库存8</w:t>
            </w:r>
            <w:r>
              <w:rPr>
                <w:rFonts w:hint="eastAsia"/>
                <w:szCs w:val="20"/>
                <w:lang w:eastAsia="zh"/>
                <w:woUserID w:val="7"/>
              </w:rPr>
              <w:t>3.5</w:t>
            </w:r>
            <w:r>
              <w:rPr>
                <w:rFonts w:hint="eastAsia"/>
                <w:szCs w:val="20"/>
                <w:woUserID w:val="7"/>
              </w:rPr>
              <w:t>（</w:t>
            </w:r>
            <w:r>
              <w:rPr>
                <w:rFonts w:hint="eastAsia"/>
                <w:szCs w:val="20"/>
                <w:lang w:eastAsia="zh"/>
                <w:woUserID w:val="7"/>
              </w:rPr>
              <w:t>-1.5</w:t>
            </w:r>
            <w:r>
              <w:rPr>
                <w:rFonts w:hint="eastAsia"/>
                <w:szCs w:val="20"/>
                <w:woUserID w:val="7"/>
              </w:rPr>
              <w:t>）,线性CFR中国960（0），美金市场持稳。成本端：原油价格</w:t>
            </w:r>
            <w:r>
              <w:rPr>
                <w:rFonts w:hint="eastAsia"/>
                <w:szCs w:val="20"/>
                <w:lang w:eastAsia="zh"/>
                <w:woUserID w:val="7"/>
              </w:rPr>
              <w:t>上涨</w:t>
            </w:r>
            <w:r>
              <w:rPr>
                <w:rFonts w:hint="eastAsia"/>
                <w:szCs w:val="20"/>
                <w:woUserID w:val="7"/>
              </w:rPr>
              <w:t>，乙烯单体价格持稳，煤炭价格</w:t>
            </w:r>
            <w:r>
              <w:rPr>
                <w:rFonts w:hint="eastAsia"/>
                <w:szCs w:val="20"/>
                <w:lang w:eastAsia="zh"/>
                <w:woUserID w:val="7"/>
              </w:rPr>
              <w:t>持稳</w:t>
            </w:r>
            <w:r>
              <w:rPr>
                <w:rFonts w:hint="eastAsia"/>
                <w:szCs w:val="20"/>
                <w:woUserID w:val="7"/>
              </w:rPr>
              <w:t>。逻辑：</w:t>
            </w:r>
            <w:r>
              <w:rPr>
                <w:rFonts w:hint="eastAsia"/>
                <w:szCs w:val="20"/>
                <w:lang w:eastAsia="zh"/>
                <w:woUserID w:val="7"/>
              </w:rPr>
              <w:t>通胀下滑美国降息预期增加，油价反弹</w:t>
            </w:r>
            <w:r>
              <w:rPr>
                <w:rFonts w:hint="eastAsia"/>
                <w:szCs w:val="20"/>
                <w:woUserID w:val="7"/>
              </w:rPr>
              <w:t>。供应端维持高位，</w:t>
            </w:r>
            <w:r>
              <w:rPr>
                <w:rFonts w:hint="eastAsia"/>
                <w:szCs w:val="20"/>
                <w:lang w:eastAsia="zh"/>
                <w:woUserID w:val="7"/>
              </w:rPr>
              <w:t>检修小幅增加</w:t>
            </w:r>
            <w:r>
              <w:rPr>
                <w:rFonts w:hint="eastAsia"/>
                <w:szCs w:val="20"/>
                <w:woUserID w:val="7"/>
              </w:rPr>
              <w:t>。供应压力偏大，宝丰三期和金诚石化投产，</w:t>
            </w:r>
            <w:r>
              <w:rPr>
                <w:rFonts w:hint="eastAsia"/>
                <w:szCs w:val="20"/>
                <w:lang w:eastAsia="zh"/>
                <w:woUserID w:val="7"/>
              </w:rPr>
              <w:t>但</w:t>
            </w:r>
            <w:r>
              <w:rPr>
                <w:rFonts w:hint="eastAsia"/>
                <w:szCs w:val="20"/>
                <w:woUserID w:val="7"/>
              </w:rPr>
              <w:t>没有带来较多的供应，下游开工回升中。现货</w:t>
            </w:r>
            <w:r>
              <w:rPr>
                <w:rFonts w:hint="eastAsia"/>
                <w:szCs w:val="20"/>
                <w:lang w:eastAsia="zh"/>
                <w:woUserID w:val="7"/>
              </w:rPr>
              <w:t>价格小幅回落</w:t>
            </w:r>
            <w:r>
              <w:rPr>
                <w:rFonts w:hint="eastAsia"/>
                <w:szCs w:val="20"/>
                <w:woUserID w:val="7"/>
              </w:rPr>
              <w:t>，</w:t>
            </w:r>
            <w:r>
              <w:rPr>
                <w:rFonts w:hint="eastAsia"/>
                <w:szCs w:val="20"/>
                <w:lang w:eastAsia="zh"/>
                <w:woUserID w:val="7"/>
              </w:rPr>
              <w:t>油价上涨，有支持，</w:t>
            </w:r>
            <w:r>
              <w:rPr>
                <w:rFonts w:hint="eastAsia"/>
                <w:szCs w:val="20"/>
                <w:woUserID w:val="7"/>
              </w:rPr>
              <w:t>05合约震荡运行。</w:t>
            </w:r>
          </w:p>
          <w:p w14:paraId="4B530CA0">
            <w:pPr>
              <w:keepNext w:val="0"/>
              <w:keepLines w:val="0"/>
              <w:widowControl/>
              <w:suppressLineNumbers w:val="0"/>
              <w:spacing w:before="0" w:beforeAutospacing="0" w:after="0" w:afterAutospacing="0"/>
              <w:ind w:left="0" w:right="0"/>
              <w:jc w:val="left"/>
              <w:rPr>
                <w:rFonts w:hint="eastAsia"/>
                <w:szCs w:val="20"/>
                <w:woUserID w:val="7"/>
              </w:rPr>
            </w:pPr>
            <w:r>
              <w:rPr>
                <w:rFonts w:hint="eastAsia"/>
                <w:b/>
                <w:bCs/>
                <w:szCs w:val="20"/>
                <w:woUserID w:val="7"/>
              </w:rPr>
              <w:t>PP</w:t>
            </w:r>
            <w:r>
              <w:rPr>
                <w:rFonts w:hint="eastAsia"/>
                <w:szCs w:val="20"/>
                <w:woUserID w:val="7"/>
              </w:rPr>
              <w:t>:3月</w:t>
            </w:r>
            <w:r>
              <w:rPr>
                <w:rFonts w:hint="eastAsia"/>
                <w:szCs w:val="20"/>
                <w:lang w:eastAsia="zh"/>
                <w:woUserID w:val="7"/>
              </w:rPr>
              <w:t>12</w:t>
            </w:r>
            <w:r>
              <w:rPr>
                <w:rFonts w:hint="eastAsia"/>
                <w:szCs w:val="20"/>
                <w:woUserID w:val="7"/>
              </w:rPr>
              <w:t>日华东现货价格7</w:t>
            </w:r>
            <w:r>
              <w:rPr>
                <w:rFonts w:hint="eastAsia"/>
                <w:szCs w:val="20"/>
                <w:lang w:eastAsia="zh"/>
                <w:woUserID w:val="7"/>
              </w:rPr>
              <w:t>260</w:t>
            </w:r>
            <w:r>
              <w:rPr>
                <w:rFonts w:hint="eastAsia"/>
                <w:szCs w:val="20"/>
                <w:woUserID w:val="7"/>
              </w:rPr>
              <w:t>-7350，价格</w:t>
            </w:r>
            <w:r>
              <w:rPr>
                <w:rFonts w:hint="eastAsia"/>
                <w:szCs w:val="20"/>
                <w:lang w:eastAsia="zh"/>
                <w:woUserID w:val="7"/>
              </w:rPr>
              <w:t>下跌</w:t>
            </w:r>
            <w:r>
              <w:rPr>
                <w:rFonts w:hint="eastAsia"/>
                <w:szCs w:val="20"/>
                <w:woUserID w:val="7"/>
              </w:rPr>
              <w:t>。基差-</w:t>
            </w:r>
            <w:r>
              <w:rPr>
                <w:rFonts w:hint="eastAsia"/>
                <w:szCs w:val="20"/>
                <w:lang w:eastAsia="zh"/>
                <w:woUserID w:val="7"/>
              </w:rPr>
              <w:t>1</w:t>
            </w:r>
            <w:r>
              <w:rPr>
                <w:rFonts w:hint="eastAsia"/>
                <w:szCs w:val="20"/>
                <w:woUserID w:val="7"/>
              </w:rPr>
              <w:t>0-30之间，基差</w:t>
            </w:r>
            <w:r>
              <w:rPr>
                <w:rFonts w:hint="eastAsia"/>
                <w:szCs w:val="20"/>
                <w:lang w:eastAsia="zh"/>
                <w:woUserID w:val="7"/>
              </w:rPr>
              <w:t>持稳</w:t>
            </w:r>
            <w:r>
              <w:rPr>
                <w:rFonts w:hint="eastAsia"/>
                <w:szCs w:val="20"/>
                <w:woUserID w:val="7"/>
              </w:rPr>
              <w:t>，卓创PP检修1</w:t>
            </w:r>
            <w:r>
              <w:rPr>
                <w:rFonts w:hint="eastAsia"/>
                <w:szCs w:val="20"/>
                <w:lang w:eastAsia="zh"/>
                <w:woUserID w:val="7"/>
              </w:rPr>
              <w:t>1.08</w:t>
            </w:r>
            <w:r>
              <w:rPr>
                <w:rFonts w:hint="eastAsia"/>
                <w:szCs w:val="20"/>
                <w:woUserID w:val="7"/>
              </w:rPr>
              <w:t>%（</w:t>
            </w:r>
            <w:r>
              <w:rPr>
                <w:rFonts w:hint="eastAsia"/>
                <w:szCs w:val="20"/>
                <w:lang w:eastAsia="zh"/>
                <w:woUserID w:val="7"/>
              </w:rPr>
              <w:t>0</w:t>
            </w:r>
            <w:r>
              <w:rPr>
                <w:rFonts w:hint="eastAsia"/>
                <w:szCs w:val="20"/>
                <w:woUserID w:val="7"/>
              </w:rPr>
              <w:t>）。石化库存8</w:t>
            </w:r>
            <w:r>
              <w:rPr>
                <w:rFonts w:hint="eastAsia"/>
                <w:szCs w:val="20"/>
                <w:lang w:eastAsia="zh"/>
                <w:woUserID w:val="7"/>
              </w:rPr>
              <w:t>3.5</w:t>
            </w:r>
            <w:r>
              <w:rPr>
                <w:rFonts w:hint="eastAsia"/>
                <w:szCs w:val="20"/>
                <w:woUserID w:val="7"/>
              </w:rPr>
              <w:t>（</w:t>
            </w:r>
            <w:r>
              <w:rPr>
                <w:rFonts w:hint="eastAsia"/>
                <w:szCs w:val="20"/>
                <w:lang w:eastAsia="zh"/>
                <w:woUserID w:val="7"/>
              </w:rPr>
              <w:t>-1.5</w:t>
            </w:r>
            <w:r>
              <w:rPr>
                <w:rFonts w:hint="eastAsia"/>
                <w:szCs w:val="20"/>
                <w:woUserID w:val="7"/>
              </w:rPr>
              <w:t>），拉丝CFR中国900（0），美金市场成交有限。成本端：原油价格</w:t>
            </w:r>
            <w:r>
              <w:rPr>
                <w:rFonts w:hint="eastAsia"/>
                <w:szCs w:val="20"/>
                <w:lang w:eastAsia="zh"/>
                <w:woUserID w:val="7"/>
              </w:rPr>
              <w:t>上涨</w:t>
            </w:r>
            <w:r>
              <w:rPr>
                <w:rFonts w:hint="eastAsia"/>
                <w:szCs w:val="20"/>
                <w:woUserID w:val="7"/>
              </w:rPr>
              <w:t>，甲醇价格</w:t>
            </w:r>
            <w:r>
              <w:rPr>
                <w:rFonts w:hint="eastAsia"/>
                <w:szCs w:val="20"/>
                <w:lang w:eastAsia="zh"/>
                <w:woUserID w:val="7"/>
              </w:rPr>
              <w:t>下跌</w:t>
            </w:r>
            <w:r>
              <w:rPr>
                <w:rFonts w:hint="eastAsia"/>
                <w:szCs w:val="20"/>
                <w:woUserID w:val="7"/>
              </w:rPr>
              <w:t>，丙烷价格</w:t>
            </w:r>
            <w:r>
              <w:rPr>
                <w:rFonts w:hint="eastAsia"/>
                <w:szCs w:val="20"/>
                <w:lang w:eastAsia="zh"/>
                <w:woUserID w:val="7"/>
              </w:rPr>
              <w:t>上涨</w:t>
            </w:r>
            <w:r>
              <w:rPr>
                <w:rFonts w:hint="eastAsia"/>
                <w:szCs w:val="20"/>
                <w:woUserID w:val="7"/>
              </w:rPr>
              <w:t>，华北丙烯价格</w:t>
            </w:r>
            <w:r>
              <w:rPr>
                <w:rFonts w:hint="eastAsia"/>
                <w:szCs w:val="20"/>
                <w:lang w:eastAsia="zh"/>
                <w:woUserID w:val="7"/>
              </w:rPr>
              <w:t>上涨</w:t>
            </w:r>
            <w:r>
              <w:rPr>
                <w:rFonts w:hint="eastAsia"/>
                <w:szCs w:val="20"/>
                <w:woUserID w:val="7"/>
              </w:rPr>
              <w:t>，煤炭价格</w:t>
            </w:r>
            <w:r>
              <w:rPr>
                <w:rFonts w:hint="eastAsia"/>
                <w:szCs w:val="20"/>
                <w:lang w:eastAsia="zh"/>
                <w:woUserID w:val="7"/>
              </w:rPr>
              <w:t>持稳</w:t>
            </w:r>
            <w:r>
              <w:rPr>
                <w:rFonts w:hint="eastAsia"/>
                <w:szCs w:val="20"/>
                <w:woUserID w:val="7"/>
              </w:rPr>
              <w:t>。逻辑：</w:t>
            </w:r>
            <w:r>
              <w:rPr>
                <w:rFonts w:hint="eastAsia"/>
                <w:szCs w:val="20"/>
                <w:lang w:eastAsia="zh"/>
                <w:woUserID w:val="7"/>
              </w:rPr>
              <w:t>关税问题油价小涨</w:t>
            </w:r>
            <w:r>
              <w:rPr>
                <w:rFonts w:hint="eastAsia"/>
                <w:szCs w:val="20"/>
                <w:woUserID w:val="7"/>
              </w:rPr>
              <w:t>。供应压力偏大，</w:t>
            </w:r>
            <w:r>
              <w:rPr>
                <w:rFonts w:hint="eastAsia"/>
                <w:szCs w:val="20"/>
                <w:lang w:eastAsia="zh"/>
                <w:woUserID w:val="7"/>
              </w:rPr>
              <w:t>新增装置投产</w:t>
            </w:r>
            <w:r>
              <w:rPr>
                <w:rFonts w:hint="eastAsia"/>
                <w:szCs w:val="20"/>
                <w:woUserID w:val="7"/>
              </w:rPr>
              <w:t>，检修</w:t>
            </w:r>
            <w:r>
              <w:rPr>
                <w:rFonts w:hint="eastAsia"/>
                <w:szCs w:val="20"/>
                <w:lang w:eastAsia="zh"/>
                <w:woUserID w:val="7"/>
              </w:rPr>
              <w:t>变化不大</w:t>
            </w:r>
            <w:r>
              <w:rPr>
                <w:rFonts w:hint="eastAsia"/>
                <w:szCs w:val="20"/>
                <w:woUserID w:val="7"/>
              </w:rPr>
              <w:t>，下游开工</w:t>
            </w:r>
            <w:r>
              <w:rPr>
                <w:rFonts w:hint="eastAsia"/>
                <w:szCs w:val="20"/>
                <w:lang w:eastAsia="zh"/>
                <w:woUserID w:val="7"/>
              </w:rPr>
              <w:t>恢复</w:t>
            </w:r>
            <w:r>
              <w:rPr>
                <w:rFonts w:hint="eastAsia"/>
                <w:szCs w:val="20"/>
                <w:woUserID w:val="7"/>
              </w:rPr>
              <w:t>中，下游原料库存偏高，采购意愿偏弱，现货价格偏弱，</w:t>
            </w:r>
            <w:r>
              <w:rPr>
                <w:rFonts w:hint="eastAsia"/>
                <w:szCs w:val="20"/>
                <w:lang w:eastAsia="zh"/>
                <w:woUserID w:val="7"/>
              </w:rPr>
              <w:t>原油反弹</w:t>
            </w:r>
            <w:r>
              <w:rPr>
                <w:rFonts w:hint="eastAsia"/>
                <w:szCs w:val="20"/>
                <w:woUserID w:val="7"/>
              </w:rPr>
              <w:t>，预计今日 PP价格震荡运行。</w:t>
            </w:r>
          </w:p>
          <w:p w14:paraId="4464D43F">
            <w:pPr>
              <w:keepNext w:val="0"/>
              <w:keepLines w:val="0"/>
              <w:widowControl/>
              <w:suppressLineNumbers w:val="0"/>
              <w:spacing w:before="0" w:beforeAutospacing="0" w:after="0" w:afterAutospacing="0"/>
              <w:ind w:left="0" w:right="0"/>
              <w:jc w:val="left"/>
              <w:rPr>
                <w:rFonts w:hint="eastAsia" w:ascii="宋体" w:hAnsi="宋体" w:eastAsia="宋体"/>
                <w:bCs/>
                <w:szCs w:val="21"/>
              </w:rPr>
            </w:pPr>
            <w:r>
              <w:rPr>
                <w:rFonts w:hint="eastAsia"/>
                <w:b/>
                <w:bCs/>
                <w:szCs w:val="20"/>
                <w:woUserID w:val="7"/>
              </w:rPr>
              <w:t>PVC</w:t>
            </w:r>
            <w:r>
              <w:rPr>
                <w:rFonts w:hint="eastAsia"/>
                <w:szCs w:val="20"/>
                <w:woUserID w:val="7"/>
              </w:rPr>
              <w:t>：3月</w:t>
            </w:r>
            <w:r>
              <w:rPr>
                <w:rFonts w:hint="eastAsia"/>
                <w:szCs w:val="20"/>
                <w:lang w:eastAsia="zh"/>
                <w:woUserID w:val="7"/>
              </w:rPr>
              <w:t>12</w:t>
            </w:r>
            <w:r>
              <w:rPr>
                <w:rFonts w:hint="eastAsia"/>
                <w:szCs w:val="20"/>
                <w:woUserID w:val="7"/>
              </w:rPr>
              <w:t>日华东现货价格48</w:t>
            </w:r>
            <w:r>
              <w:rPr>
                <w:rFonts w:hint="eastAsia"/>
                <w:szCs w:val="20"/>
                <w:lang w:eastAsia="zh"/>
                <w:woUserID w:val="7"/>
              </w:rPr>
              <w:t>0</w:t>
            </w:r>
            <w:r>
              <w:rPr>
                <w:rFonts w:hint="eastAsia"/>
                <w:szCs w:val="20"/>
                <w:woUserID w:val="7"/>
              </w:rPr>
              <w:t>0-5080，价格</w:t>
            </w:r>
            <w:r>
              <w:rPr>
                <w:rFonts w:hint="eastAsia"/>
                <w:szCs w:val="20"/>
                <w:lang w:eastAsia="zh"/>
                <w:woUserID w:val="7"/>
              </w:rPr>
              <w:t>下跌</w:t>
            </w:r>
            <w:r>
              <w:rPr>
                <w:rFonts w:hint="eastAsia"/>
                <w:szCs w:val="20"/>
                <w:woUserID w:val="7"/>
              </w:rPr>
              <w:t>。主流基差-3</w:t>
            </w:r>
            <w:r>
              <w:rPr>
                <w:rFonts w:hint="eastAsia"/>
                <w:szCs w:val="20"/>
                <w:lang w:eastAsia="zh"/>
                <w:woUserID w:val="7"/>
              </w:rPr>
              <w:t>0</w:t>
            </w:r>
            <w:r>
              <w:rPr>
                <w:rFonts w:hint="eastAsia"/>
                <w:szCs w:val="20"/>
                <w:woUserID w:val="7"/>
              </w:rPr>
              <w:t>0 - -180之间，基差小幅</w:t>
            </w:r>
            <w:r>
              <w:rPr>
                <w:rFonts w:hint="eastAsia"/>
                <w:szCs w:val="20"/>
                <w:lang w:eastAsia="zh"/>
                <w:woUserID w:val="7"/>
              </w:rPr>
              <w:t>走强</w:t>
            </w:r>
            <w:r>
              <w:rPr>
                <w:rFonts w:hint="eastAsia"/>
                <w:szCs w:val="20"/>
                <w:woUserID w:val="7"/>
              </w:rPr>
              <w:t>，成交一般。 据卓创资讯数据显示，周度(02.28)下游样本企业复工小幅提升，本周开工负荷环比提升0.38%，同比提升3.19%，其中软制品开工环比提升1.51%，同比下降2.34%，硬制品开工环比下降0.34%，同比提升1.14%，整体硬质品表现略好于软质品。原料库存天数环比减少0.25天，同比增加0.42天。周度上游库存环去库0.12W吨，社会库存环比累库0.18W吨，PVC产业链库存表现维持，上游预售增加1.77W吨。逻辑：成本端电石价格持稳。上游开工维持高位，下游开工小幅增加，雨季来临，出口成交一般。供需矛盾短期仍大，库存变化不大，供需压力仍大。后续关注春检和出口</w:t>
            </w:r>
            <w:r>
              <w:rPr>
                <w:rFonts w:hint="eastAsia"/>
                <w:szCs w:val="20"/>
                <w:lang w:eastAsia="zh"/>
                <w:woUserID w:val="7"/>
              </w:rPr>
              <w:t>，黑色有所止跌，</w:t>
            </w:r>
            <w:r>
              <w:rPr>
                <w:rFonts w:hint="eastAsia"/>
                <w:szCs w:val="20"/>
                <w:woUserID w:val="7"/>
              </w:rPr>
              <w:t xml:space="preserve">今日预计PVC震荡运行。 </w:t>
            </w:r>
          </w:p>
        </w:tc>
      </w:tr>
      <w:tr w14:paraId="365842CA">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PrEx>
        <w:trPr>
          <w:trHeight w:val="2011" w:hRule="atLeast"/>
          <w:jc w:val="center"/>
        </w:trPr>
        <w:tc>
          <w:tcPr>
            <w:tcW w:w="631" w:type="dxa"/>
            <w:vMerge w:val="continue"/>
            <w:vAlign w:val="center"/>
          </w:tcPr>
          <w:p w14:paraId="5541DAB4">
            <w:pPr>
              <w:keepNext w:val="0"/>
              <w:keepLines w:val="0"/>
              <w:suppressLineNumbers w:val="0"/>
              <w:spacing w:before="0" w:beforeAutospacing="0" w:after="0" w:afterAutospacing="0" w:line="276" w:lineRule="auto"/>
              <w:ind w:left="0" w:right="0"/>
              <w:rPr>
                <w:rFonts w:hint="default" w:ascii="宋体" w:hAnsi="宋体"/>
                <w:color w:val="000000"/>
                <w:szCs w:val="21"/>
              </w:rPr>
            </w:pPr>
          </w:p>
        </w:tc>
        <w:tc>
          <w:tcPr>
            <w:tcW w:w="1397" w:type="dxa"/>
            <w:vAlign w:val="center"/>
          </w:tcPr>
          <w:p w14:paraId="7A376759">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PP</w:t>
            </w:r>
          </w:p>
        </w:tc>
        <w:tc>
          <w:tcPr>
            <w:tcW w:w="1254" w:type="dxa"/>
            <w:vAlign w:val="center"/>
          </w:tcPr>
          <w:p w14:paraId="010724E0">
            <w:pPr>
              <w:keepNext w:val="0"/>
              <w:keepLines w:val="0"/>
              <w:suppressLineNumbers w:val="0"/>
              <w:spacing w:before="0" w:beforeAutospacing="0" w:after="0" w:afterAutospacing="0"/>
              <w:ind w:left="0" w:right="0"/>
              <w:jc w:val="center"/>
              <w:rPr>
                <w:rFonts w:hint="eastAsia" w:ascii="宋体" w:hAnsi="宋体"/>
                <w:bCs/>
                <w:szCs w:val="21"/>
              </w:rPr>
            </w:pPr>
            <w:r>
              <w:rPr>
                <w:rFonts w:hint="eastAsia" w:ascii="宋体" w:hAnsi="宋体"/>
                <w:bCs/>
                <w:szCs w:val="21"/>
              </w:rPr>
              <w:t xml:space="preserve"> </w:t>
            </w:r>
          </w:p>
          <w:p w14:paraId="1694542B">
            <w:pPr>
              <w:keepNext w:val="0"/>
              <w:keepLines w:val="0"/>
              <w:widowControl w:val="0"/>
              <w:suppressLineNumbers w:val="0"/>
              <w:spacing w:before="0" w:beforeAutospacing="0" w:after="0" w:afterAutospacing="0"/>
              <w:ind w:left="0" w:leftChars="0" w:right="0" w:firstLine="420" w:firstLineChars="200"/>
              <w:jc w:val="both"/>
              <w:rPr>
                <w:rFonts w:hint="eastAsia" w:ascii="宋体" w:hAnsi="宋体"/>
                <w:bCs/>
                <w:szCs w:val="21"/>
              </w:rPr>
            </w:pPr>
            <w:r>
              <w:rPr>
                <w:rFonts w:hint="eastAsia" w:ascii="宋体" w:hAnsi="宋体" w:eastAsia="宋体" w:cs="宋体"/>
                <w:bCs/>
                <w:kern w:val="2"/>
                <w:sz w:val="21"/>
                <w:szCs w:val="21"/>
                <w:lang w:val="en-US" w:eastAsia="zh-CN" w:bidi="ar"/>
              </w:rPr>
              <w:t>震荡</w:t>
            </w:r>
          </w:p>
          <w:p w14:paraId="03E9734C">
            <w:pPr>
              <w:keepNext w:val="0"/>
              <w:keepLines w:val="0"/>
              <w:suppressLineNumbers w:val="0"/>
              <w:spacing w:before="0" w:beforeAutospacing="0" w:after="0" w:afterAutospacing="0"/>
              <w:ind w:left="0" w:right="0"/>
              <w:jc w:val="center"/>
              <w:rPr>
                <w:rFonts w:hint="eastAsia" w:ascii="宋体" w:hAnsi="宋体" w:eastAsia="宋体"/>
                <w:szCs w:val="21"/>
                <w:lang w:eastAsia="zh"/>
                <w:woUserID w:val="7"/>
              </w:rPr>
            </w:pPr>
            <w:r>
              <w:rPr>
                <w:rFonts w:hint="eastAsia" w:ascii="宋体" w:hAnsi="宋体"/>
                <w:szCs w:val="21"/>
                <w:lang w:eastAsia="zh"/>
                <w:woUserID w:val="7"/>
              </w:rPr>
              <w:t xml:space="preserve">  </w:t>
            </w:r>
          </w:p>
        </w:tc>
        <w:tc>
          <w:tcPr>
            <w:tcW w:w="6804" w:type="dxa"/>
            <w:vMerge w:val="continue"/>
            <w:shd w:val="clear" w:color="auto" w:fill="auto"/>
          </w:tcPr>
          <w:p w14:paraId="7FA8F3D2">
            <w:pPr>
              <w:keepNext w:val="0"/>
              <w:keepLines w:val="0"/>
              <w:suppressLineNumbers w:val="0"/>
              <w:spacing w:before="0" w:beforeAutospacing="0" w:after="0" w:afterAutospacing="0"/>
              <w:ind w:left="0" w:right="0"/>
              <w:rPr>
                <w:rFonts w:hint="default" w:ascii="Calibri" w:hAnsi="Calibri"/>
                <w:b/>
                <w:bCs/>
                <w:szCs w:val="20"/>
              </w:rPr>
            </w:pPr>
          </w:p>
        </w:tc>
      </w:tr>
      <w:tr w14:paraId="47B0D4BC">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316" w:hRule="atLeast"/>
          <w:jc w:val="center"/>
        </w:trPr>
        <w:tc>
          <w:tcPr>
            <w:tcW w:w="631" w:type="dxa"/>
            <w:vMerge w:val="continue"/>
            <w:vAlign w:val="center"/>
          </w:tcPr>
          <w:p w14:paraId="0D17CA8A">
            <w:pPr>
              <w:keepNext w:val="0"/>
              <w:keepLines w:val="0"/>
              <w:suppressLineNumbers w:val="0"/>
              <w:spacing w:before="0" w:beforeAutospacing="0" w:after="0" w:afterAutospacing="0" w:line="276" w:lineRule="auto"/>
              <w:ind w:left="0" w:right="0"/>
              <w:rPr>
                <w:rFonts w:hint="default" w:ascii="宋体" w:hAnsi="宋体"/>
                <w:color w:val="000000"/>
                <w:szCs w:val="21"/>
              </w:rPr>
            </w:pPr>
          </w:p>
        </w:tc>
        <w:tc>
          <w:tcPr>
            <w:tcW w:w="1397" w:type="dxa"/>
            <w:vAlign w:val="center"/>
          </w:tcPr>
          <w:p w14:paraId="6F41F063">
            <w:pPr>
              <w:keepNext w:val="0"/>
              <w:keepLines w:val="0"/>
              <w:suppressLineNumbers w:val="0"/>
              <w:spacing w:before="0" w:beforeAutospacing="0" w:after="0" w:afterAutospacing="0"/>
              <w:ind w:left="0" w:right="0"/>
              <w:jc w:val="center"/>
              <w:rPr>
                <w:rFonts w:hint="eastAsia" w:ascii="宋体" w:hAnsi="宋体"/>
                <w:szCs w:val="21"/>
              </w:rPr>
            </w:pPr>
          </w:p>
          <w:p w14:paraId="2B998BFF">
            <w:pPr>
              <w:keepNext w:val="0"/>
              <w:keepLines w:val="0"/>
              <w:suppressLineNumbers w:val="0"/>
              <w:spacing w:before="0" w:beforeAutospacing="0" w:after="0" w:afterAutospacing="0"/>
              <w:ind w:left="0" w:right="0"/>
              <w:jc w:val="center"/>
              <w:rPr>
                <w:rFonts w:hint="default" w:ascii="宋体" w:hAnsi="宋体" w:cs="宋体"/>
                <w:szCs w:val="21"/>
              </w:rPr>
            </w:pPr>
            <w:r>
              <w:rPr>
                <w:rFonts w:hint="eastAsia" w:ascii="宋体" w:hAnsi="宋体"/>
                <w:szCs w:val="21"/>
              </w:rPr>
              <w:t>PVC</w:t>
            </w:r>
          </w:p>
        </w:tc>
        <w:tc>
          <w:tcPr>
            <w:tcW w:w="1254" w:type="dxa"/>
            <w:vAlign w:val="center"/>
          </w:tcPr>
          <w:p w14:paraId="3FC3BFFD">
            <w:pPr>
              <w:keepNext w:val="0"/>
              <w:keepLines w:val="0"/>
              <w:suppressLineNumbers w:val="0"/>
              <w:spacing w:before="0" w:beforeAutospacing="0" w:after="0" w:afterAutospacing="0"/>
              <w:ind w:left="0" w:right="0"/>
              <w:jc w:val="center"/>
              <w:rPr>
                <w:rFonts w:hint="eastAsia" w:ascii="宋体" w:hAnsi="宋体"/>
                <w:bCs/>
                <w:szCs w:val="21"/>
              </w:rPr>
            </w:pPr>
          </w:p>
          <w:p w14:paraId="74CE3C0E">
            <w:pPr>
              <w:keepNext w:val="0"/>
              <w:keepLines w:val="0"/>
              <w:suppressLineNumbers w:val="0"/>
              <w:spacing w:before="0" w:beforeAutospacing="0" w:after="0" w:afterAutospacing="0"/>
              <w:ind w:left="0" w:right="0"/>
              <w:jc w:val="center"/>
              <w:rPr>
                <w:rFonts w:hint="eastAsia" w:ascii="宋体" w:hAnsi="宋体"/>
                <w:bCs/>
                <w:szCs w:val="21"/>
              </w:rPr>
            </w:pPr>
          </w:p>
          <w:p w14:paraId="2203D6C0">
            <w:pPr>
              <w:keepNext w:val="0"/>
              <w:keepLines w:val="0"/>
              <w:suppressLineNumbers w:val="0"/>
              <w:spacing w:before="0" w:beforeAutospacing="0" w:after="0" w:afterAutospacing="0"/>
              <w:ind w:left="0" w:right="0"/>
              <w:jc w:val="center"/>
              <w:rPr>
                <w:rFonts w:hint="eastAsia" w:ascii="宋体" w:hAnsi="宋体"/>
                <w:szCs w:val="21"/>
              </w:rPr>
            </w:pPr>
            <w:r>
              <w:rPr>
                <w:rFonts w:hint="eastAsia" w:ascii="宋体" w:hAnsi="宋体"/>
                <w:szCs w:val="21"/>
              </w:rPr>
              <w:t xml:space="preserve"> 震荡</w:t>
            </w:r>
          </w:p>
          <w:p w14:paraId="45568DAA">
            <w:pPr>
              <w:keepNext w:val="0"/>
              <w:keepLines w:val="0"/>
              <w:suppressLineNumbers w:val="0"/>
              <w:spacing w:before="0" w:beforeAutospacing="0" w:after="0" w:afterAutospacing="0"/>
              <w:ind w:left="0" w:right="0"/>
              <w:jc w:val="center"/>
              <w:rPr>
                <w:rFonts w:hint="eastAsia" w:ascii="宋体" w:hAnsi="宋体" w:eastAsia="宋体"/>
                <w:szCs w:val="21"/>
                <w:woUserID w:val="7"/>
              </w:rPr>
            </w:pPr>
            <w:r>
              <w:rPr>
                <w:rFonts w:hint="eastAsia" w:ascii="宋体" w:hAnsi="宋体"/>
                <w:szCs w:val="21"/>
                <w:lang w:eastAsia="zh"/>
                <w:woUserID w:val="10"/>
              </w:rPr>
              <w:t xml:space="preserve"> </w:t>
            </w:r>
          </w:p>
        </w:tc>
        <w:tc>
          <w:tcPr>
            <w:tcW w:w="6804" w:type="dxa"/>
            <w:vMerge w:val="continue"/>
            <w:shd w:val="clear" w:color="auto" w:fill="auto"/>
          </w:tcPr>
          <w:p w14:paraId="639D3B9A">
            <w:pPr>
              <w:keepNext w:val="0"/>
              <w:keepLines w:val="0"/>
              <w:suppressLineNumbers w:val="0"/>
              <w:spacing w:before="0" w:beforeAutospacing="0" w:after="0" w:afterAutospacing="0"/>
              <w:ind w:left="0" w:right="0"/>
              <w:rPr>
                <w:rFonts w:hint="default" w:ascii="Calibri" w:hAnsi="Calibri"/>
                <w:b/>
                <w:bCs/>
                <w:szCs w:val="20"/>
              </w:rPr>
            </w:pPr>
          </w:p>
        </w:tc>
      </w:tr>
      <w:bookmarkEnd w:id="1"/>
      <w:bookmarkEnd w:id="2"/>
      <w:bookmarkEnd w:id="3"/>
      <w:tr w14:paraId="12AAA326">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740" w:hRule="atLeast"/>
          <w:jc w:val="center"/>
        </w:trPr>
        <w:tc>
          <w:tcPr>
            <w:tcW w:w="631" w:type="dxa"/>
            <w:vMerge w:val="restart"/>
          </w:tcPr>
          <w:p w14:paraId="732C22BA">
            <w:pPr>
              <w:keepNext w:val="0"/>
              <w:keepLines w:val="0"/>
              <w:suppressLineNumbers w:val="0"/>
              <w:spacing w:before="0" w:beforeAutospacing="0" w:after="0" w:afterAutospacing="0"/>
              <w:ind w:left="0" w:right="0"/>
              <w:rPr>
                <w:rFonts w:hint="default" w:ascii="宋体" w:hAnsi="宋体"/>
                <w:b/>
                <w:sz w:val="24"/>
                <w:szCs w:val="21"/>
              </w:rPr>
            </w:pPr>
          </w:p>
          <w:p w14:paraId="097E04DE">
            <w:pPr>
              <w:keepNext w:val="0"/>
              <w:keepLines w:val="0"/>
              <w:suppressLineNumbers w:val="0"/>
              <w:spacing w:before="0" w:beforeAutospacing="0" w:after="0" w:afterAutospacing="0"/>
              <w:ind w:left="0" w:right="0"/>
              <w:rPr>
                <w:rFonts w:hint="default" w:ascii="宋体" w:hAnsi="宋体"/>
                <w:b/>
                <w:sz w:val="24"/>
                <w:szCs w:val="21"/>
              </w:rPr>
            </w:pPr>
          </w:p>
          <w:p w14:paraId="5639D2A4">
            <w:pPr>
              <w:keepNext w:val="0"/>
              <w:keepLines w:val="0"/>
              <w:suppressLineNumbers w:val="0"/>
              <w:spacing w:before="0" w:beforeAutospacing="0" w:after="0" w:afterAutospacing="0"/>
              <w:ind w:left="0" w:right="0"/>
              <w:rPr>
                <w:rFonts w:hint="default" w:ascii="宋体" w:hAnsi="宋体"/>
                <w:b/>
                <w:sz w:val="24"/>
                <w:szCs w:val="21"/>
              </w:rPr>
            </w:pPr>
          </w:p>
          <w:p w14:paraId="3EB5AB7A">
            <w:pPr>
              <w:keepNext w:val="0"/>
              <w:keepLines w:val="0"/>
              <w:suppressLineNumbers w:val="0"/>
              <w:spacing w:before="0" w:beforeAutospacing="0" w:after="0" w:afterAutospacing="0"/>
              <w:ind w:left="0" w:right="0"/>
              <w:rPr>
                <w:rFonts w:hint="default" w:ascii="宋体" w:hAnsi="宋体"/>
                <w:b/>
                <w:sz w:val="24"/>
                <w:szCs w:val="21"/>
              </w:rPr>
            </w:pPr>
          </w:p>
          <w:p w14:paraId="173EB000">
            <w:pPr>
              <w:keepNext w:val="0"/>
              <w:keepLines w:val="0"/>
              <w:suppressLineNumbers w:val="0"/>
              <w:spacing w:before="0" w:beforeAutospacing="0" w:after="0" w:afterAutospacing="0"/>
              <w:ind w:left="0" w:right="0"/>
              <w:rPr>
                <w:rFonts w:hint="default" w:ascii="宋体" w:hAnsi="宋体"/>
                <w:b/>
                <w:sz w:val="24"/>
                <w:szCs w:val="21"/>
              </w:rPr>
            </w:pPr>
            <w:r>
              <w:rPr>
                <w:rFonts w:hint="eastAsia" w:ascii="宋体" w:hAnsi="宋体"/>
                <w:b/>
                <w:sz w:val="24"/>
                <w:szCs w:val="21"/>
              </w:rPr>
              <w:t>农产品</w:t>
            </w:r>
          </w:p>
        </w:tc>
        <w:tc>
          <w:tcPr>
            <w:tcW w:w="1397" w:type="dxa"/>
            <w:vAlign w:val="center"/>
          </w:tcPr>
          <w:p w14:paraId="6C6317B5">
            <w:pPr>
              <w:keepNext w:val="0"/>
              <w:keepLines w:val="0"/>
              <w:suppressLineNumbers w:val="0"/>
              <w:spacing w:before="0" w:beforeAutospacing="0" w:after="0" w:afterAutospacing="0"/>
              <w:ind w:left="0" w:right="0"/>
              <w:jc w:val="center"/>
              <w:rPr>
                <w:rFonts w:hint="default" w:ascii="宋体" w:hAnsi="宋体"/>
                <w:szCs w:val="21"/>
              </w:rPr>
            </w:pPr>
            <w:r>
              <w:rPr>
                <w:rFonts w:hint="eastAsia" w:ascii="宋体" w:hAnsi="宋体"/>
                <w:szCs w:val="21"/>
              </w:rPr>
              <w:t>生猪</w:t>
            </w:r>
          </w:p>
        </w:tc>
        <w:tc>
          <w:tcPr>
            <w:tcW w:w="1254" w:type="dxa"/>
            <w:shd w:val="clear" w:color="auto" w:fill="auto"/>
            <w:vAlign w:val="center"/>
          </w:tcPr>
          <w:p w14:paraId="22A2A897">
            <w:pPr>
              <w:keepNext w:val="0"/>
              <w:keepLines w:val="0"/>
              <w:suppressLineNumbers w:val="0"/>
              <w:spacing w:before="0" w:beforeAutospacing="0" w:after="0" w:afterAutospacing="0"/>
              <w:ind w:left="0" w:leftChars="0" w:right="0" w:rightChars="0"/>
              <w:jc w:val="center"/>
              <w:rPr>
                <w:rFonts w:hint="eastAsia" w:ascii="宋体" w:hAnsi="宋体" w:eastAsia="宋体" w:cs="Times New Roman"/>
                <w:i/>
                <w:iCs/>
                <w:color w:val="000000"/>
                <w:kern w:val="2"/>
                <w:sz w:val="21"/>
                <w:szCs w:val="21"/>
                <w:lang w:val="en-US" w:eastAsia="zh-CN" w:bidi="ar-SA"/>
              </w:rPr>
            </w:pPr>
            <w:r>
              <w:rPr>
                <w:rFonts w:hint="eastAsia" w:ascii="宋体" w:hAnsi="宋体"/>
                <w:color w:val="000000"/>
                <w:szCs w:val="21"/>
                <w:woUserID w:val="9"/>
              </w:rPr>
              <w:t>震荡</w:t>
            </w:r>
          </w:p>
        </w:tc>
        <w:tc>
          <w:tcPr>
            <w:tcW w:w="6804" w:type="dxa"/>
            <w:vMerge w:val="restart"/>
          </w:tcPr>
          <w:p w14:paraId="0838F4A8">
            <w:pPr>
              <w:keepNext w:val="0"/>
              <w:keepLines w:val="0"/>
              <w:suppressLineNumbers w:val="0"/>
              <w:tabs>
                <w:tab w:val="left" w:pos="7088"/>
              </w:tabs>
              <w:adjustRightInd w:val="0"/>
              <w:snapToGrid w:val="0"/>
              <w:spacing w:before="0" w:beforeAutospacing="0" w:after="0" w:afterAutospacing="0" w:line="276" w:lineRule="auto"/>
              <w:ind w:left="0" w:right="0"/>
              <w:jc w:val="left"/>
              <w:rPr>
                <w:rFonts w:hint="eastAsia" w:ascii="宋体" w:hAnsi="宋体" w:eastAsia="宋体"/>
                <w:szCs w:val="21"/>
                <w:lang w:eastAsia="zh"/>
                <w:woUserID w:val="9"/>
              </w:rPr>
            </w:pPr>
            <w:r>
              <w:rPr>
                <w:rFonts w:hint="eastAsia" w:ascii="宋体" w:hAnsi="宋体"/>
                <w:b/>
                <w:bCs/>
                <w:szCs w:val="21"/>
                <w:woUserID w:val="9"/>
              </w:rPr>
              <w:t>生猪</w:t>
            </w:r>
            <w:r>
              <w:rPr>
                <w:rFonts w:hint="eastAsia" w:ascii="宋体" w:hAnsi="宋体"/>
                <w:szCs w:val="21"/>
                <w:woUserID w:val="9"/>
              </w:rPr>
              <w:t>：</w:t>
            </w:r>
            <w:r>
              <w:rPr>
                <w:rFonts w:hint="eastAsia" w:ascii="宋体" w:hAnsi="宋体"/>
                <w:szCs w:val="21"/>
                <w:lang w:eastAsia="zh"/>
                <w:woUserID w:val="9"/>
              </w:rPr>
              <w:t>短期市场受二育进场、集团缩量和散户惜售因素影响，现货市场表现偏强，尤其是东北和南方地区二育积极性增加，北方短期国储分割增加需求，但终端需求表现一般，这些短期因素导致猪价稳中偏强，但随着价格抬升将会抑制二育和终端需求，且集团出栏压力不减，短期价格有回调预期。短期关税影响和二育情绪积极，叠加集团缩量，价格表现偏强，但肥标价差收窄，集团垒库后有放量预期，猪价短期偏强后降再次回落。</w:t>
            </w:r>
          </w:p>
          <w:p w14:paraId="17CA1AC0">
            <w:pPr>
              <w:keepNext w:val="0"/>
              <w:keepLines w:val="0"/>
              <w:suppressLineNumbers w:val="0"/>
              <w:tabs>
                <w:tab w:val="left" w:pos="7088"/>
              </w:tabs>
              <w:adjustRightInd w:val="0"/>
              <w:snapToGrid w:val="0"/>
              <w:spacing w:before="0" w:beforeAutospacing="0" w:after="0" w:afterAutospacing="0" w:line="276" w:lineRule="auto"/>
              <w:ind w:left="0" w:right="0"/>
              <w:jc w:val="left"/>
              <w:rPr>
                <w:rFonts w:hint="eastAsia" w:ascii="宋体" w:hAnsi="宋体" w:eastAsia="宋体"/>
                <w:szCs w:val="21"/>
                <w:lang w:eastAsia="zh-CN"/>
                <w:woUserID w:val="9"/>
              </w:rPr>
            </w:pPr>
            <w:r>
              <w:rPr>
                <w:rFonts w:hint="eastAsia" w:ascii="宋体" w:hAnsi="宋体"/>
                <w:b/>
                <w:bCs/>
                <w:szCs w:val="21"/>
                <w:woUserID w:val="9"/>
              </w:rPr>
              <w:t>苹果</w:t>
            </w:r>
            <w:r>
              <w:rPr>
                <w:rFonts w:hint="eastAsia" w:ascii="宋体" w:hAnsi="宋体"/>
                <w:szCs w:val="21"/>
                <w:woUserID w:val="9"/>
              </w:rPr>
              <w:t>：</w:t>
            </w:r>
            <w:r>
              <w:rPr>
                <w:rFonts w:hint="eastAsia" w:ascii="宋体" w:hAnsi="宋体" w:eastAsia="宋体"/>
                <w:bCs/>
                <w:szCs w:val="21"/>
                <w:woUserID w:val="9"/>
              </w:rPr>
              <w:t>随着客商陆续补货完成，冷库出货速度有所放缓。不过剩余库存量偏 低，加上后期的清明节备货，或有一定的支撑。行情稳硬运行，炒货商积极性降低。</w:t>
            </w:r>
            <w:r>
              <w:rPr>
                <w:rFonts w:hint="eastAsia" w:ascii="宋体" w:hAnsi="宋体"/>
                <w:bCs/>
                <w:szCs w:val="21"/>
                <w:lang w:eastAsia="zh"/>
                <w:woUserID w:val="9"/>
              </w:rPr>
              <w:t>山东、陕西产区交易略有转淡，</w:t>
            </w:r>
            <w:r>
              <w:rPr>
                <w:rFonts w:hint="eastAsia" w:ascii="宋体" w:hAnsi="宋体" w:eastAsia="宋体"/>
                <w:bCs/>
                <w:szCs w:val="21"/>
                <w:woUserID w:val="9"/>
              </w:rPr>
              <w:t>目前仍以果农通货、高捡等出货为主，客商货发货不多</w:t>
            </w:r>
            <w:r>
              <w:rPr>
                <w:rFonts w:hint="default" w:ascii="Arial" w:hAnsi="Arial" w:eastAsia="Arial" w:cs="Arial"/>
                <w:i w:val="0"/>
                <w:iCs w:val="0"/>
                <w:caps w:val="0"/>
                <w:color w:val="686868"/>
                <w:spacing w:val="0"/>
                <w:sz w:val="24"/>
                <w:szCs w:val="24"/>
                <w:shd w:val="clear" w:fill="FFFFFF"/>
                <w:woUserID w:val="9"/>
              </w:rPr>
              <w:t>。</w:t>
            </w:r>
            <w:r>
              <w:rPr>
                <w:rFonts w:hint="eastAsia" w:ascii="宋体" w:hAnsi="宋体" w:eastAsia="宋体"/>
                <w:szCs w:val="21"/>
                <w:woUserID w:val="9"/>
              </w:rPr>
              <w:t> </w:t>
            </w:r>
          </w:p>
          <w:p w14:paraId="1A2239A4">
            <w:pPr>
              <w:keepNext w:val="0"/>
              <w:keepLines w:val="0"/>
              <w:suppressLineNumbers w:val="0"/>
              <w:tabs>
                <w:tab w:val="left" w:pos="7088"/>
              </w:tabs>
              <w:adjustRightInd w:val="0"/>
              <w:snapToGrid w:val="0"/>
              <w:spacing w:before="0" w:beforeAutospacing="0" w:after="0" w:afterAutospacing="0" w:line="276" w:lineRule="auto"/>
              <w:ind w:left="0" w:right="0"/>
              <w:jc w:val="left"/>
              <w:rPr>
                <w:rFonts w:hint="eastAsia" w:ascii="宋体" w:hAnsi="宋体" w:eastAsia="宋体"/>
                <w:szCs w:val="21"/>
                <w:lang w:eastAsia="zh"/>
                <w:woUserID w:val="9"/>
              </w:rPr>
            </w:pPr>
            <w:r>
              <w:rPr>
                <w:rFonts w:hint="eastAsia" w:ascii="宋体" w:hAnsi="宋体"/>
                <w:b/>
                <w:bCs/>
                <w:szCs w:val="21"/>
                <w:woUserID w:val="9"/>
              </w:rPr>
              <w:t>玉米</w:t>
            </w:r>
            <w:r>
              <w:rPr>
                <w:rFonts w:hint="eastAsia" w:ascii="宋体" w:hAnsi="宋体"/>
                <w:szCs w:val="21"/>
                <w:woUserID w:val="9"/>
              </w:rPr>
              <w:t>：近日美国政府宣布以芬太尼为由对所有中国输美商品进一步加征10%关税的消息一发布引起热议，期货出现下跌，对现货市场影响暂不明显。中储粮再次发布在东北地区增加收储，对市场行情又有提振。目前，东北地区价格基本稳定，黑龙江地区上调10元/吨。整体上看，国内关税反制措施落地，玉米市场短线资金离场引发周初价格波动。</w:t>
            </w:r>
          </w:p>
          <w:p w14:paraId="292AB537">
            <w:pPr>
              <w:keepNext w:val="0"/>
              <w:keepLines w:val="0"/>
              <w:widowControl w:val="0"/>
              <w:suppressLineNumbers w:val="0"/>
              <w:spacing w:before="0" w:beforeAutospacing="0" w:after="0" w:afterAutospacing="0"/>
              <w:ind w:left="0" w:right="0"/>
              <w:jc w:val="both"/>
              <w:rPr>
                <w:rFonts w:hint="eastAsia" w:ascii="宋体" w:hAnsi="宋体" w:eastAsia="宋体"/>
                <w:i/>
                <w:iCs/>
                <w:szCs w:val="21"/>
              </w:rPr>
            </w:pPr>
            <w:r>
              <w:rPr>
                <w:rFonts w:hint="eastAsia" w:ascii="宋体" w:hAnsi="宋体"/>
                <w:b/>
                <w:bCs/>
                <w:szCs w:val="21"/>
                <w:woUserID w:val="9"/>
              </w:rPr>
              <w:t>鸡蛋：</w:t>
            </w:r>
            <w:r>
              <w:rPr>
                <w:rFonts w:hint="eastAsia" w:ascii="宋体" w:hAnsi="宋体"/>
                <w:b w:val="0"/>
                <w:bCs w:val="0"/>
                <w:szCs w:val="21"/>
                <w:woUserID w:val="9"/>
              </w:rPr>
              <w:t>3月鸡蛋需求有所回暖，且玉米和豆粕价格较前期有所回升，成本支撑增强。另外，当前老鸡淘汰速度有所加快，一定程度上缓解了市场供应压力。多重利好提振，现货价格短期有止跌回涨态势，对盘面也有所利好。不过，由于四季度补栏积极性良好，节后新增开产压力较大， 存栏压力也持续作用市场。本周鸡蛋期价震荡略有走低，不过05合约估值不高，续跌空间或不大。</w:t>
            </w:r>
          </w:p>
        </w:tc>
      </w:tr>
      <w:tr w14:paraId="672E14BC">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640" w:hRule="atLeast"/>
          <w:jc w:val="center"/>
        </w:trPr>
        <w:tc>
          <w:tcPr>
            <w:tcW w:w="631" w:type="dxa"/>
            <w:vMerge w:val="continue"/>
          </w:tcPr>
          <w:p w14:paraId="72E01CFD">
            <w:pPr>
              <w:keepNext w:val="0"/>
              <w:keepLines w:val="0"/>
              <w:suppressLineNumbers w:val="0"/>
              <w:spacing w:before="0" w:beforeAutospacing="0" w:after="0" w:afterAutospacing="0"/>
              <w:ind w:left="0" w:right="0"/>
              <w:rPr>
                <w:rFonts w:hint="default" w:ascii="宋体" w:hAnsi="宋体"/>
                <w:b/>
                <w:sz w:val="24"/>
                <w:szCs w:val="21"/>
              </w:rPr>
            </w:pPr>
          </w:p>
        </w:tc>
        <w:tc>
          <w:tcPr>
            <w:tcW w:w="1397" w:type="dxa"/>
            <w:vAlign w:val="center"/>
          </w:tcPr>
          <w:p w14:paraId="2FA025EE">
            <w:pPr>
              <w:keepNext w:val="0"/>
              <w:keepLines w:val="0"/>
              <w:suppressLineNumbers w:val="0"/>
              <w:spacing w:before="0" w:beforeAutospacing="0" w:after="0" w:afterAutospacing="0"/>
              <w:ind w:left="0" w:right="0"/>
              <w:jc w:val="center"/>
              <w:rPr>
                <w:rFonts w:hint="eastAsia" w:eastAsia="宋体"/>
                <w:szCs w:val="20"/>
              </w:rPr>
            </w:pPr>
            <w:r>
              <w:rPr>
                <w:rFonts w:hint="eastAsia"/>
                <w:szCs w:val="20"/>
              </w:rPr>
              <w:t>苹果</w:t>
            </w:r>
          </w:p>
        </w:tc>
        <w:tc>
          <w:tcPr>
            <w:tcW w:w="1254" w:type="dxa"/>
            <w:shd w:val="clear" w:color="auto" w:fill="auto"/>
            <w:vAlign w:val="center"/>
          </w:tcPr>
          <w:p w14:paraId="26ED62A5">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i/>
                <w:iCs/>
                <w:kern w:val="2"/>
                <w:sz w:val="21"/>
                <w:szCs w:val="20"/>
                <w:lang w:val="en-US" w:eastAsia="zh" w:bidi="ar-SA"/>
                <w:woUserID w:val="14"/>
              </w:rPr>
            </w:pPr>
            <w:r>
              <w:rPr>
                <w:rFonts w:hint="eastAsia" w:ascii="宋体" w:hAnsi="宋体"/>
                <w:color w:val="000000"/>
                <w:szCs w:val="21"/>
                <w:lang w:eastAsia="zh"/>
              </w:rPr>
              <w:t>稳中偏</w:t>
            </w:r>
            <w:r>
              <w:rPr>
                <w:rFonts w:hint="eastAsia" w:ascii="宋体" w:hAnsi="宋体"/>
                <w:color w:val="000000"/>
                <w:szCs w:val="21"/>
                <w:lang w:eastAsia="zh"/>
                <w:woUserID w:val="14"/>
              </w:rPr>
              <w:t>弱</w:t>
            </w:r>
          </w:p>
        </w:tc>
        <w:tc>
          <w:tcPr>
            <w:tcW w:w="6804" w:type="dxa"/>
            <w:vMerge w:val="continue"/>
          </w:tcPr>
          <w:p w14:paraId="10D5F113">
            <w:pPr>
              <w:keepNext w:val="0"/>
              <w:keepLines w:val="0"/>
              <w:suppressLineNumbers w:val="0"/>
              <w:spacing w:before="0" w:beforeAutospacing="0" w:after="0" w:afterAutospacing="0"/>
              <w:ind w:left="0" w:right="0"/>
              <w:rPr>
                <w:rFonts w:hint="default" w:ascii="宋体" w:hAnsi="宋体"/>
                <w:i/>
                <w:iCs/>
                <w:sz w:val="18"/>
                <w:szCs w:val="18"/>
              </w:rPr>
            </w:pPr>
          </w:p>
        </w:tc>
      </w:tr>
      <w:tr w14:paraId="4601E7D5">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CellMar>
            <w:top w:w="0" w:type="dxa"/>
            <w:left w:w="108" w:type="dxa"/>
            <w:bottom w:w="0" w:type="dxa"/>
            <w:right w:w="108" w:type="dxa"/>
          </w:tblCellMar>
        </w:tblPrEx>
        <w:trPr>
          <w:trHeight w:val="1140" w:hRule="atLeast"/>
          <w:jc w:val="center"/>
        </w:trPr>
        <w:tc>
          <w:tcPr>
            <w:tcW w:w="631" w:type="dxa"/>
            <w:vMerge w:val="continue"/>
          </w:tcPr>
          <w:p w14:paraId="00812C45">
            <w:pPr>
              <w:keepNext w:val="0"/>
              <w:keepLines w:val="0"/>
              <w:suppressLineNumbers w:val="0"/>
              <w:spacing w:before="0" w:beforeAutospacing="0" w:after="0" w:afterAutospacing="0"/>
              <w:ind w:left="0" w:right="0"/>
              <w:rPr>
                <w:rFonts w:hint="default" w:ascii="宋体" w:hAnsi="宋体"/>
                <w:b/>
                <w:sz w:val="24"/>
                <w:szCs w:val="21"/>
              </w:rPr>
            </w:pPr>
          </w:p>
        </w:tc>
        <w:tc>
          <w:tcPr>
            <w:tcW w:w="1397" w:type="dxa"/>
            <w:vAlign w:val="center"/>
          </w:tcPr>
          <w:p w14:paraId="0C633669">
            <w:pPr>
              <w:keepNext w:val="0"/>
              <w:keepLines w:val="0"/>
              <w:suppressLineNumbers w:val="0"/>
              <w:spacing w:before="0" w:beforeAutospacing="0" w:after="0" w:afterAutospacing="0"/>
              <w:ind w:left="0" w:right="0"/>
              <w:jc w:val="center"/>
              <w:rPr>
                <w:rFonts w:hint="eastAsia" w:eastAsia="宋体"/>
                <w:szCs w:val="20"/>
              </w:rPr>
            </w:pPr>
            <w:r>
              <w:rPr>
                <w:rFonts w:hint="eastAsia" w:ascii="宋体" w:hAnsi="宋体"/>
                <w:szCs w:val="21"/>
              </w:rPr>
              <w:t>玉米</w:t>
            </w:r>
          </w:p>
        </w:tc>
        <w:tc>
          <w:tcPr>
            <w:tcW w:w="1254" w:type="dxa"/>
            <w:shd w:val="clear" w:color="auto" w:fill="auto"/>
            <w:vAlign w:val="center"/>
          </w:tcPr>
          <w:p w14:paraId="24F83677">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i/>
                <w:iCs/>
                <w:kern w:val="2"/>
                <w:sz w:val="21"/>
                <w:szCs w:val="20"/>
                <w:lang w:val="en-US" w:eastAsia="zh-CN" w:bidi="ar-SA"/>
              </w:rPr>
            </w:pPr>
            <w:r>
              <w:rPr>
                <w:rFonts w:hint="eastAsia" w:eastAsia="宋体"/>
                <w:i w:val="0"/>
                <w:iCs w:val="0"/>
                <w:szCs w:val="20"/>
              </w:rPr>
              <w:t>震荡</w:t>
            </w:r>
          </w:p>
        </w:tc>
        <w:tc>
          <w:tcPr>
            <w:tcW w:w="6804" w:type="dxa"/>
            <w:vMerge w:val="continue"/>
          </w:tcPr>
          <w:p w14:paraId="35D14EE0">
            <w:pPr>
              <w:keepNext w:val="0"/>
              <w:keepLines w:val="0"/>
              <w:suppressLineNumbers w:val="0"/>
              <w:spacing w:before="0" w:beforeAutospacing="0" w:after="0" w:afterAutospacing="0"/>
              <w:ind w:left="0" w:right="0"/>
              <w:rPr>
                <w:rFonts w:hint="default" w:ascii="宋体" w:hAnsi="宋体"/>
                <w:i/>
                <w:iCs/>
                <w:sz w:val="18"/>
                <w:szCs w:val="18"/>
              </w:rPr>
            </w:pPr>
          </w:p>
        </w:tc>
      </w:tr>
      <w:tr w14:paraId="54829D79">
        <w:tblPrEx>
          <w:tblBorders>
            <w:top w:val="single" w:color="FF0000" w:sz="12" w:space="0"/>
            <w:left w:val="none" w:color="auto" w:sz="0" w:space="0"/>
            <w:bottom w:val="single" w:color="FF0000" w:sz="12" w:space="0"/>
            <w:right w:val="none" w:color="auto" w:sz="0" w:space="0"/>
            <w:insideH w:val="dashed" w:color="FF0000" w:sz="4" w:space="0"/>
            <w:insideV w:val="dashed" w:color="FF0000" w:sz="4" w:space="0"/>
          </w:tblBorders>
        </w:tblPrEx>
        <w:trPr>
          <w:trHeight w:val="793" w:hRule="atLeast"/>
          <w:jc w:val="center"/>
        </w:trPr>
        <w:tc>
          <w:tcPr>
            <w:tcW w:w="631" w:type="dxa"/>
            <w:vMerge w:val="continue"/>
          </w:tcPr>
          <w:p w14:paraId="1150B3A6">
            <w:pPr>
              <w:keepNext w:val="0"/>
              <w:keepLines w:val="0"/>
              <w:suppressLineNumbers w:val="0"/>
              <w:spacing w:before="0" w:beforeAutospacing="0" w:after="0" w:afterAutospacing="0"/>
              <w:ind w:left="0" w:right="0"/>
              <w:rPr>
                <w:rFonts w:hint="default" w:ascii="宋体" w:hAnsi="宋体"/>
                <w:b/>
                <w:sz w:val="24"/>
                <w:szCs w:val="21"/>
              </w:rPr>
            </w:pPr>
          </w:p>
        </w:tc>
        <w:tc>
          <w:tcPr>
            <w:tcW w:w="1397" w:type="dxa"/>
            <w:vAlign w:val="center"/>
          </w:tcPr>
          <w:p w14:paraId="0CB26500">
            <w:pPr>
              <w:keepNext w:val="0"/>
              <w:keepLines w:val="0"/>
              <w:suppressLineNumbers w:val="0"/>
              <w:spacing w:before="0" w:beforeAutospacing="0" w:after="0" w:afterAutospacing="0"/>
              <w:ind w:left="0" w:right="0"/>
              <w:jc w:val="center"/>
              <w:rPr>
                <w:rFonts w:hint="default"/>
                <w:szCs w:val="20"/>
              </w:rPr>
            </w:pPr>
            <w:r>
              <w:rPr>
                <w:rFonts w:hint="eastAsia" w:ascii="宋体" w:hAnsi="宋体"/>
                <w:szCs w:val="21"/>
              </w:rPr>
              <w:t>鸡蛋</w:t>
            </w:r>
          </w:p>
        </w:tc>
        <w:tc>
          <w:tcPr>
            <w:tcW w:w="1254" w:type="dxa"/>
            <w:shd w:val="clear" w:color="auto" w:fill="auto"/>
            <w:vAlign w:val="center"/>
          </w:tcPr>
          <w:p w14:paraId="5CEB88E4">
            <w:pPr>
              <w:keepNext w:val="0"/>
              <w:keepLines w:val="0"/>
              <w:suppressLineNumbers w:val="0"/>
              <w:spacing w:before="0" w:beforeAutospacing="0" w:after="0" w:afterAutospacing="0"/>
              <w:ind w:left="0" w:leftChars="0" w:right="0" w:rightChars="0"/>
              <w:jc w:val="center"/>
              <w:rPr>
                <w:rFonts w:hint="eastAsia" w:ascii="Times New Roman" w:hAnsi="Times New Roman" w:eastAsia="宋体" w:cs="Times New Roman"/>
                <w:i/>
                <w:iCs/>
                <w:kern w:val="2"/>
                <w:sz w:val="21"/>
                <w:szCs w:val="20"/>
                <w:lang w:val="en-US" w:eastAsia="zh" w:bidi="ar-SA"/>
                <w:woUserID w:val="14"/>
              </w:rPr>
            </w:pPr>
            <w:r>
              <w:rPr>
                <w:rFonts w:hint="eastAsia"/>
                <w:i w:val="0"/>
                <w:iCs w:val="0"/>
                <w:szCs w:val="20"/>
                <w:lang w:eastAsia="zh"/>
                <w:woUserID w:val="14"/>
              </w:rPr>
              <w:t>震荡偏弱</w:t>
            </w:r>
          </w:p>
        </w:tc>
        <w:tc>
          <w:tcPr>
            <w:tcW w:w="6804" w:type="dxa"/>
            <w:vMerge w:val="continue"/>
          </w:tcPr>
          <w:p w14:paraId="6240F9F7">
            <w:pPr>
              <w:keepNext w:val="0"/>
              <w:keepLines w:val="0"/>
              <w:suppressLineNumbers w:val="0"/>
              <w:spacing w:before="0" w:beforeAutospacing="0" w:after="0" w:afterAutospacing="0"/>
              <w:ind w:left="0" w:right="0"/>
              <w:rPr>
                <w:rFonts w:hint="default" w:ascii="宋体" w:hAnsi="宋体"/>
                <w:i/>
                <w:iCs/>
                <w:sz w:val="18"/>
                <w:szCs w:val="18"/>
              </w:rPr>
            </w:pPr>
          </w:p>
        </w:tc>
      </w:tr>
    </w:tbl>
    <w:p w14:paraId="0C30FBC3">
      <w:pPr>
        <w:spacing w:line="340" w:lineRule="exact"/>
        <w:ind w:left="0" w:leftChars="0" w:firstLine="0" w:firstLineChars="0"/>
        <w:rPr>
          <w:rFonts w:hint="eastAsia" w:ascii="宋体" w:hAnsi="宋体"/>
          <w:b/>
          <w:bCs/>
          <w:color w:val="000000"/>
        </w:rPr>
      </w:pPr>
      <w:r>
        <w:rPr>
          <w:rFonts w:hint="eastAsia" w:ascii="宋体" w:hAnsi="宋体"/>
          <w:b/>
          <w:bCs/>
          <w:color w:val="000000"/>
        </w:rPr>
        <w:t>免责声明：</w:t>
      </w:r>
    </w:p>
    <w:p w14:paraId="42429877">
      <w:pPr>
        <w:numPr>
          <w:ilvl w:val="0"/>
          <w:numId w:val="0"/>
        </w:numPr>
        <w:spacing w:line="340" w:lineRule="exact"/>
        <w:ind w:firstLine="420" w:firstLineChars="200"/>
        <w:rPr>
          <w:rFonts w:ascii="宋体" w:hAnsi="宋体"/>
          <w:color w:val="000000"/>
        </w:rPr>
      </w:pPr>
      <w:r>
        <w:rPr>
          <w:rFonts w:hint="eastAsia" w:ascii="宋体" w:hAnsi="宋体"/>
          <w:color w:val="000000"/>
        </w:rPr>
        <w:t>1.本报告中的信息均来源于可信的公开资料或实地调研资料，我公司对这些信息的准确性及完整性不作任何保证，也不保证所包含的信息和建议不会发生任何变更。我们已力求报告内容的客观、公正，但文中的观点、结论和建议仅供参考，在任何情况下，报告中的信息或所表达的意见并不构成所述期货买卖的出价或征价，交易者据此作出的任何投资决策与本公司和作者无关，请交易者务必独立进行交易决策。我公司不对交易结果做任何保证，不对因本报告的内容而引致的损失承担任何责任。</w:t>
      </w:r>
    </w:p>
    <w:p w14:paraId="2EC8AA1D">
      <w:pPr>
        <w:spacing w:line="340" w:lineRule="exact"/>
        <w:ind w:firstLine="420" w:firstLineChars="200"/>
        <w:rPr>
          <w:rFonts w:ascii="宋体" w:hAnsi="宋体"/>
          <w:color w:val="000000"/>
        </w:rPr>
      </w:pPr>
      <w:r>
        <w:rPr>
          <w:rFonts w:hint="eastAsia" w:ascii="宋体" w:hAnsi="宋体"/>
          <w:color w:val="000000"/>
        </w:rPr>
        <w:t>2.市场具有不确定性，过往策略观点的吻合并不保证当前策略观点的正确。公司及其他研究员可能发表与本策略观点不同甚至相反的意见。报告所载资料、意见及推测仅反映研究人员于发出本报告当日的判断，可随时更改且无需另行通告。</w:t>
      </w:r>
    </w:p>
    <w:p w14:paraId="123833D9">
      <w:pPr>
        <w:spacing w:line="340" w:lineRule="exact"/>
        <w:ind w:firstLine="420" w:firstLineChars="200"/>
        <w:rPr>
          <w:rFonts w:ascii="宋体" w:hAnsi="宋体"/>
          <w:color w:val="000000"/>
        </w:rPr>
      </w:pPr>
      <w:r>
        <w:rPr>
          <w:rFonts w:hint="eastAsia" w:ascii="宋体" w:hAnsi="宋体"/>
          <w:color w:val="000000"/>
        </w:rPr>
        <w:t>3.在法律范围内，公司或关联机构可能会就涉及的品种进行交易，或可能为其他公司交易提供服务。</w:t>
      </w:r>
    </w:p>
    <w:p w14:paraId="4CA0777C">
      <w:pPr>
        <w:spacing w:line="340" w:lineRule="exact"/>
        <w:ind w:firstLine="420" w:firstLineChars="200"/>
        <w:rPr>
          <w:rFonts w:ascii="宋体" w:hAnsi="宋体"/>
          <w:color w:val="000000"/>
        </w:rPr>
      </w:pPr>
      <w:r>
        <w:rPr>
          <w:rFonts w:hint="eastAsia" w:ascii="宋体" w:hAnsi="宋体"/>
          <w:color w:val="000000"/>
        </w:rPr>
        <w:t>4.本报告版权仅为浙江新世纪期货有限公司所有。未经事先书面许可，任何机构和个人不得以任何形式翻版、复制、刊登、转载和引用，否则由此造成的一切不良后果及法律责任由私自翻版、复制、刊登、转载和引用者承担。</w:t>
      </w:r>
    </w:p>
    <w:sectPr>
      <w:headerReference r:id="rId3" w:type="default"/>
      <w:footerReference r:id="rId5" w:type="default"/>
      <w:headerReference r:id="rId4" w:type="even"/>
      <w:footerReference r:id="rId6" w:type="even"/>
      <w:pgSz w:w="11906" w:h="16838"/>
      <w:pgMar w:top="1701" w:right="1274" w:bottom="1701" w:left="9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汉仪书宋二KW">
    <w:panose1 w:val="00020600040101010101"/>
    <w:charset w:val="86"/>
    <w:family w:val="auto"/>
    <w:pitch w:val="default"/>
    <w:sig w:usb0="A00002BF" w:usb1="18EF7CFA" w:usb2="00000016" w:usb3="00000000" w:csb0="00040000" w:csb1="00000000"/>
  </w:font>
  <w:font w:name="Wingdings">
    <w:altName w:val="Kingsoft Confetti"/>
    <w:panose1 w:val="05000000000000000000"/>
    <w:charset w:val="02"/>
    <w:family w:val="auto"/>
    <w:pitch w:val="default"/>
    <w:sig w:usb0="00000000" w:usb1="00000000" w:usb2="00000000" w:usb3="00000000" w:csb0="80000000" w:csb1="00000000"/>
  </w:font>
  <w:font w:name="Kingsoft Confetti">
    <w:panose1 w:val="05000100010000000000"/>
    <w:charset w:val="00"/>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汉仪中黑KW"/>
    <w:panose1 w:val="02010609060101010101"/>
    <w:charset w:val="86"/>
    <w:family w:val="auto"/>
    <w:pitch w:val="default"/>
    <w:sig w:usb0="800002BF" w:usb1="38CF7CFA" w:usb2="00000016" w:usb3="00000000" w:csb0="00040001" w:csb1="00000000"/>
  </w:font>
  <w:font w:name="汉仪中黑KW">
    <w:panose1 w:val="00020600040101010101"/>
    <w:charset w:val="86"/>
    <w:family w:val="auto"/>
    <w:pitch w:val="default"/>
    <w:sig w:usb0="A00002BF" w:usb1="18EF7CFA" w:usb2="00000016" w:usb3="00000000" w:csb0="00040000" w:csb1="00000000"/>
  </w:font>
  <w:font w:name="Courier New">
    <w:panose1 w:val="02070309020205020404"/>
    <w:charset w:val="01"/>
    <w:family w:val="modern"/>
    <w:pitch w:val="default"/>
    <w:sig w:usb0="E0002AFF" w:usb1="C0007843" w:usb2="00000009" w:usb3="00000000" w:csb0="400001FF" w:csb1="FFFF0000"/>
  </w:font>
  <w:font w:name="Symbol">
    <w:altName w:val="Kingsoft Sign"/>
    <w:panose1 w:val="05050102010706020507"/>
    <w:charset w:val="02"/>
    <w:family w:val="roman"/>
    <w:pitch w:val="default"/>
    <w:sig w:usb0="00000000" w:usb1="00000000" w:usb2="00000000" w:usb3="00000000" w:csb0="80000000" w:csb1="00000000"/>
  </w:font>
  <w:font w:name="Kingsoft Sign">
    <w:panose1 w:val="05050102010706020507"/>
    <w:charset w:val="00"/>
    <w:family w:val="auto"/>
    <w:pitch w:val="default"/>
    <w:sig w:usb0="00000000" w:usb1="00000000" w:usb2="00000000" w:usb3="00000000" w:csb0="80000000" w:csb1="00000000"/>
  </w:font>
  <w:font w:name="Calibri">
    <w:altName w:val="Arial"/>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E0002AFF" w:usb1="C0007843" w:usb2="00000009" w:usb3="00000000" w:csb0="400001FF" w:csb1="FFFF0000"/>
  </w:font>
  <w:font w:name="仿宋_GB2312">
    <w:altName w:val="Times New Roman"/>
    <w:panose1 w:val="02010609030101010101"/>
    <w:charset w:val="86"/>
    <w:family w:val="modern"/>
    <w:pitch w:val="default"/>
    <w:sig w:usb0="00000000" w:usb1="00000000" w:usb2="00000000" w:usb3="00000000" w:csb0="00040000" w:csb1="00000000"/>
  </w:font>
  <w:font w:name="方正仿宋_GBK">
    <w:altName w:val="Times New Roman"/>
    <w:panose1 w:val="00000000000000000000"/>
    <w:charset w:val="00"/>
    <w:family w:val="auto"/>
    <w:pitch w:val="default"/>
    <w:sig w:usb0="00000000" w:usb1="00000000" w:usb2="00000000" w:usb3="00000000" w:csb0="00000000" w:csb1="00000000"/>
  </w:font>
  <w:font w:name="ˎ̥">
    <w:altName w:val="Times New Roman"/>
    <w:panose1 w:val="00000000000000000000"/>
    <w:charset w:val="00"/>
    <w:family w:val="auto"/>
    <w:pitch w:val="default"/>
    <w:sig w:usb0="00000000" w:usb1="00000000" w:usb2="00000000" w:usb3="00000000" w:csb0="00040001" w:csb1="00000000"/>
  </w:font>
  <w:font w:name="Arial Black">
    <w:altName w:val="Arial"/>
    <w:panose1 w:val="020B0A04020102020204"/>
    <w:charset w:val="00"/>
    <w:family w:val="swiss"/>
    <w:pitch w:val="default"/>
    <w:sig w:usb0="00000000" w:usb1="00000000" w:usb2="00000000" w:usb3="00000000" w:csb0="6000009F" w:csb1="DFD70000"/>
  </w:font>
  <w:font w:name="华文中宋">
    <w:panose1 w:val="02010600040101010101"/>
    <w:charset w:val="86"/>
    <w:family w:val="auto"/>
    <w:pitch w:val="default"/>
    <w:sig w:usb0="00000287" w:usb1="080F0000" w:usb2="00000000" w:usb3="00000000" w:csb0="0004009F" w:csb1="DFD70000"/>
  </w:font>
  <w:font w:name="simsun">
    <w:altName w:val="Times New Roman"/>
    <w:panose1 w:val="00000000000000000000"/>
    <w:charset w:val="00"/>
    <w:family w:val="auto"/>
    <w:pitch w:val="default"/>
    <w:sig w:usb0="00000000" w:usb1="00000000" w:usb2="00000000" w:usb3="00000000" w:csb0="00000000" w:csb1="00000000"/>
  </w:font>
  <w:font w:name="microsoft yahei">
    <w:altName w:val="Times New Roman"/>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19D00">
    <w:pPr>
      <w:pStyle w:val="55"/>
      <w:framePr w:wrap="around" w:vAnchor="text" w:hAnchor="page" w:x="10621" w:y="-182"/>
      <w:rPr>
        <w:rStyle w:val="92"/>
        <w:rFonts w:ascii="仿宋_GB2312" w:hAnsi="仿宋_GB2312" w:eastAsia="仿宋_GB2312"/>
        <w:color w:val="CC0000"/>
        <w:sz w:val="22"/>
      </w:rPr>
    </w:pPr>
    <w:r>
      <w:rPr>
        <w:rFonts w:hint="eastAsia" w:ascii="仿宋_GB2312" w:hAnsi="仿宋_GB2312" w:eastAsia="仿宋_GB2312"/>
        <w:b/>
        <w:color w:val="CC0000"/>
        <w:sz w:val="30"/>
      </w:rPr>
      <w:fldChar w:fldCharType="begin"/>
    </w:r>
    <w:r>
      <w:rPr>
        <w:rStyle w:val="92"/>
        <w:rFonts w:hint="eastAsia" w:ascii="仿宋_GB2312" w:hAnsi="仿宋_GB2312" w:eastAsia="仿宋_GB2312"/>
        <w:b/>
        <w:color w:val="CC0000"/>
        <w:sz w:val="30"/>
      </w:rPr>
      <w:instrText xml:space="preserve">PAGE  </w:instrText>
    </w:r>
    <w:r>
      <w:rPr>
        <w:rFonts w:hint="eastAsia" w:ascii="仿宋_GB2312" w:hAnsi="仿宋_GB2312" w:eastAsia="仿宋_GB2312"/>
        <w:b/>
        <w:color w:val="CC0000"/>
        <w:sz w:val="30"/>
      </w:rPr>
      <w:fldChar w:fldCharType="separate"/>
    </w:r>
    <w:r>
      <w:rPr>
        <w:rStyle w:val="92"/>
        <w:rFonts w:ascii="仿宋_GB2312" w:hAnsi="仿宋_GB2312" w:eastAsia="仿宋_GB2312"/>
        <w:b/>
        <w:color w:val="CC0000"/>
        <w:sz w:val="30"/>
      </w:rPr>
      <w:t>5</w:t>
    </w:r>
    <w:r>
      <w:rPr>
        <w:rFonts w:hint="eastAsia" w:ascii="仿宋_GB2312" w:hAnsi="仿宋_GB2312" w:eastAsia="仿宋_GB2312"/>
        <w:b/>
        <w:color w:val="CC0000"/>
        <w:sz w:val="30"/>
      </w:rPr>
      <w:fldChar w:fldCharType="end"/>
    </w:r>
  </w:p>
  <w:p w14:paraId="173D1DF3">
    <w:pPr>
      <w:pStyle w:val="55"/>
      <w:rPr>
        <w:sz w:val="21"/>
      </w:rPr>
    </w:pPr>
    <w:r>
      <mc:AlternateContent>
        <mc:Choice Requires="wps">
          <w:drawing>
            <wp:anchor distT="0" distB="0" distL="0" distR="0" simplePos="0" relativeHeight="251659264" behindDoc="0" locked="0" layoutInCell="1" allowOverlap="1">
              <wp:simplePos x="0" y="0"/>
              <wp:positionH relativeFrom="column">
                <wp:posOffset>6068695</wp:posOffset>
              </wp:positionH>
              <wp:positionV relativeFrom="page">
                <wp:posOffset>9599295</wp:posOffset>
              </wp:positionV>
              <wp:extent cx="342900" cy="297180"/>
              <wp:effectExtent l="0" t="0" r="0" b="7620"/>
              <wp:wrapNone/>
              <wp:docPr id="4102" name="Rectangle 8"/>
              <wp:cNvGraphicFramePr/>
              <a:graphic xmlns:a="http://schemas.openxmlformats.org/drawingml/2006/main">
                <a:graphicData uri="http://schemas.microsoft.com/office/word/2010/wordprocessingShape">
                  <wps:wsp>
                    <wps:cNvSpPr/>
                    <wps:spPr>
                      <a:xfrm>
                        <a:off x="0" y="0"/>
                        <a:ext cx="342900" cy="297180"/>
                      </a:xfrm>
                      <a:prstGeom prst="rect">
                        <a:avLst/>
                      </a:prstGeom>
                      <a:ln w="25400" cap="flat" cmpd="sng">
                        <a:solidFill>
                          <a:srgbClr val="CC0000"/>
                        </a:solidFill>
                        <a:prstDash val="solid"/>
                        <a:miter/>
                        <a:headEnd type="none" w="med" len="med"/>
                        <a:tailEnd type="none" w="med" len="med"/>
                      </a:ln>
                    </wps:spPr>
                    <wps:bodyPr/>
                  </wps:wsp>
                </a:graphicData>
              </a:graphic>
            </wp:anchor>
          </w:drawing>
        </mc:Choice>
        <mc:Fallback>
          <w:pict>
            <v:rect id="Rectangle 8" o:spid="_x0000_s1026" o:spt="1" style="position:absolute;left:0pt;margin-left:477.85pt;margin-top:755.85pt;height:23.4pt;width:27pt;mso-position-vertical-relative:page;z-index:251659264;mso-width-relative:page;mso-height-relative:page;" filled="f" stroked="t" coordsize="21600,21600" o:gfxdata="UEsDBAoAAAAAAIdO4kAAAAAAAAAAAAAAAAAEAAAAZHJzL1BLAwQUAAAACACHTuJAOz+Y99sAAAAO&#10;AQAADwAAAGRycy9kb3ducmV2LnhtbE2PS0/DMBCE70j8B2uRuFE7gGkb4vSAhISAVqIPiaObbOOA&#10;H1HstuHfsznBbXZnNPttsRicZSfsYxu8gmwigKGvQt36RsF283wzAxaT9rW2waOCH4ywKC8vCp3X&#10;4ew/8LRODaMSH3OtwKTU5ZzHyqDTcRI69OQdQu90orFveN3rM5U7y2+FeOBOt54uGN3hk8Hqe310&#10;Ct4Hc7d02dvryw6Hr3v7udocpiulrq8y8Qgs4ZD+wjDiEzqUxLQPR19HZhXMpZxSlAyZZaTGiBBz&#10;UvtxJ2cSeFnw/2+Uv1BLAwQUAAAACACHTuJA0TppQ+MBAADkAwAADgAAAGRycy9lMm9Eb2MueG1s&#10;rVNNb9swDL0P2H8QdF/sZNmWGnF6SNZdhq1Y1x+gSLQtQF8Q1Tj596PkNN26Sw71QaZE8pHviVrf&#10;Hq1hB4iovWv5fFZzBk56pV3f8sffdx9WnGESTgnjHbT8BMhvN+/frcfQwMIP3iiIjEAcNmNo+ZBS&#10;aKoK5QBW4MwHcOTsfLQi0Tb2lYpiJHRrqkVdf65GH1WIXgIine4mJz8jxmsAfddpCTsvnyy4NKFG&#10;MCIRJRx0QL4p3XYdyPSz6xASMy0npqmsVITsfV6rzVo0fRRh0PLcgrimhVecrNCOil6gdiIJ9hT1&#10;f1BWy+jRd2kmva0mIkURYjGvX2nzMIgAhQtJjeEiOr4drPxxuI9Mq5Yv5/WCMycs3fkv0k243gBb&#10;ZYXGgA0FPoT7eN4hmZnusYs2/4kIOxZVTxdV4ZiYpMOPy8VNTXpLci1uvsxXRfXqJTlETN/AW5aN&#10;lkcqXrQUh++YqCCFPofkWsaxkZA+LQuooBHs6OoJ3waiga4vyeiNVnfamJyCsd9vTWQHQWOw3db0&#10;ZV4E/E9YrrITOExxxTUNiNUJMnXRDCDUV6dYOgXSydEL4bkbC4ozA/SgslUik9DmmkhqwjjqJYs8&#10;yZqtvVenonY5p8sv3Z4HNU/X3/uS/fI4N3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Oz+Y99sA&#10;AAAOAQAADwAAAAAAAAABACAAAAAiAAAAZHJzL2Rvd25yZXYueG1sUEsBAhQAFAAAAAgAh07iQNE6&#10;aUPjAQAA5AMAAA4AAAAAAAAAAQAgAAAAKgEAAGRycy9lMm9Eb2MueG1sUEsFBgAAAAAGAAYAWQEA&#10;AH8FAAAAAA==&#10;">
              <v:fill on="f" focussize="0,0"/>
              <v:stroke weight="2pt" color="#CC0000" joinstyle="miter"/>
              <v:imagedata o:title=""/>
              <o:lock v:ext="edit" aspectratio="f"/>
            </v:rect>
          </w:pict>
        </mc:Fallback>
      </mc:AlternateContent>
    </w:r>
    <w:r>
      <w:rPr>
        <w:sz w:val="20"/>
        <w:u w:val="thick"/>
      </w:rPr>
      <mc:AlternateContent>
        <mc:Choice Requires="wps">
          <w:drawing>
            <wp:anchor distT="0" distB="0" distL="0" distR="0" simplePos="0" relativeHeight="251659264" behindDoc="0" locked="0" layoutInCell="1" allowOverlap="1">
              <wp:simplePos x="0" y="0"/>
              <wp:positionH relativeFrom="column">
                <wp:posOffset>2066290</wp:posOffset>
              </wp:positionH>
              <wp:positionV relativeFrom="page">
                <wp:posOffset>9599295</wp:posOffset>
              </wp:positionV>
              <wp:extent cx="3995420" cy="297180"/>
              <wp:effectExtent l="0" t="0" r="5080" b="7620"/>
              <wp:wrapNone/>
              <wp:docPr id="4103" name="Rectangle 7"/>
              <wp:cNvGraphicFramePr/>
              <a:graphic xmlns:a="http://schemas.openxmlformats.org/drawingml/2006/main">
                <a:graphicData uri="http://schemas.microsoft.com/office/word/2010/wordprocessingShape">
                  <wps:wsp>
                    <wps:cNvSpPr/>
                    <wps:spPr>
                      <a:xfrm>
                        <a:off x="0" y="0"/>
                        <a:ext cx="3995419" cy="297180"/>
                      </a:xfrm>
                      <a:prstGeom prst="rect">
                        <a:avLst/>
                      </a:prstGeom>
                      <a:solidFill>
                        <a:srgbClr val="CC0000"/>
                      </a:solidFill>
                      <a:ln w="25400" cap="flat" cmpd="sng">
                        <a:solidFill>
                          <a:srgbClr val="CC0000"/>
                        </a:solidFill>
                        <a:prstDash val="solid"/>
                        <a:miter/>
                        <a:headEnd type="none" w="med" len="med"/>
                        <a:tailEnd type="none" w="med" len="med"/>
                      </a:ln>
                    </wps:spPr>
                    <wps:txbx>
                      <w:txbxContent>
                        <w:p w14:paraId="0907C90C">
                          <w:pPr>
                            <w:ind w:firstLine="360" w:firstLineChars="150"/>
                            <w:jc w:val="center"/>
                            <w:rPr>
                              <w:rFonts w:ascii="宋体" w:hAnsi="宋体"/>
                              <w:b/>
                              <w:color w:val="FFFFFF"/>
                              <w:sz w:val="24"/>
                            </w:rPr>
                          </w:pPr>
                          <w:r>
                            <w:rPr>
                              <w:rFonts w:hint="eastAsia" w:ascii="宋体" w:hAnsi="宋体"/>
                              <w:b/>
                              <w:color w:val="FFFFFF"/>
                              <w:sz w:val="24"/>
                            </w:rPr>
                            <w:t>期市有风险投资须谨慎</w:t>
                          </w:r>
                        </w:p>
                      </w:txbxContent>
                    </wps:txbx>
                    <wps:bodyPr wrap="square" upright="1"/>
                  </wps:wsp>
                </a:graphicData>
              </a:graphic>
            </wp:anchor>
          </w:drawing>
        </mc:Choice>
        <mc:Fallback>
          <w:pict>
            <v:rect id="Rectangle 7" o:spid="_x0000_s1026" o:spt="1" style="position:absolute;left:0pt;margin-left:162.7pt;margin-top:755.85pt;height:23.4pt;width:314.6pt;mso-position-vertical-relative:page;z-index:251659264;mso-width-relative:page;mso-height-relative:page;" fillcolor="#CC0000" filled="t" stroked="t" coordsize="21600,21600" o:gfxdata="UEsDBAoAAAAAAIdO4kAAAAAAAAAAAAAAAAAEAAAAZHJzL1BLAwQUAAAACACHTuJASgwOuNsAAAAN&#10;AQAADwAAAGRycy9kb3ducmV2LnhtbE2Py07DMBBF90j8gzVI7KiTNClpiNMFEg8BC2j7AW48JAE/&#10;gu027d8zXcFy5h7dOVOvjkazA/owOCsgnSXA0LZODbYTsN083JTAQpRWSe0sCjhhgFVzeVHLSrnJ&#10;fuBhHTtGJTZUUkAf41hxHtoejQwzN6Kl7NN5IyONvuPKy4nKjeZZkiy4kYOlC70c8b7H9nu9NwKe&#10;X7749Piad+9xrn+2Piv90+lNiOurNLkDFvEY/2A465M6NOS0c3urAtMC5lmRE0pBkaa3wAhZFvkC&#10;2O68KsoCeFPz/180v1BLAwQUAAAACACHTuJAiFoEtgMCAAA+BAAADgAAAGRycy9lMm9Eb2MueG1s&#10;rVNNc9MwEL0zw3/Q6E5spyltPHF6SCgXBjoUfsBGlm3N6AutEjv/npUSUlouOeCDvbJW7+17u1o9&#10;TEazgwyonG14NSs5k1a4Vtm+4T9/PH645wwj2Ba0s7LhR4n8Yf3+3Wr0tZy7welWBkYgFuvRN3yI&#10;0ddFgWKQBnDmvLS02blgINIy9EUbYCR0o4t5WX4sRhdaH5yQiPR3e9rkZ8RwDaDrOiXk1om9kTae&#10;UIPUEEkSDsojX+dqu06K+K3rUEamG05KY34TCcW79C7WK6j7AH5Q4lwCXFPCG00GlCXSC9QWIrB9&#10;UP9AGSWCQ9fFmXCmOAnJjpCKqnzjzfMAXmYtZDX6i+n4/2DF18NTYKpt+KIqbzizYKjn38k3sL2W&#10;7C45NHqsKfHZP4XzCilMcqcumPQlIWzKrh4vrsopMkE/b5bL20W15EzQ3nx5V91n24uX0z5g/Cyd&#10;YSloeCD2bCYcvmAkRkr9k5LI0GnVPiqt8yL0u40O7ADU4c2mpCeVTEdepWnLRmK/XdA2E0Bz29G8&#10;UGg8aUfbZ8JXR/A65FTZFnA4VZARTlNlVJTJL6gHCe0n27J49GSupWvFUzVGtpxpSbcwRTkzgtLX&#10;ZJI8bUll6sypFymK024imBTuXHukxo402STv1x4Cce59UP1ADlfZopRHY5XNOl+BNLd/rzPFy7Vf&#10;/wZ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KDA642wAAAA0BAAAPAAAAAAAAAAEAIAAAACIAAABk&#10;cnMvZG93bnJldi54bWxQSwECFAAUAAAACACHTuJAiFoEtgMCAAA+BAAADgAAAAAAAAABACAAAAAq&#10;AQAAZHJzL2Uyb0RvYy54bWxQSwUGAAAAAAYABgBZAQAAnwUAAAAA&#10;">
              <v:fill on="t" focussize="0,0"/>
              <v:stroke weight="2pt" color="#CC0000" joinstyle="miter"/>
              <v:imagedata o:title=""/>
              <o:lock v:ext="edit" aspectratio="f"/>
              <v:textbox>
                <w:txbxContent>
                  <w:p w14:paraId="0907C90C">
                    <w:pPr>
                      <w:ind w:firstLine="360" w:firstLineChars="150"/>
                      <w:jc w:val="center"/>
                      <w:rPr>
                        <w:rFonts w:ascii="宋体" w:hAnsi="宋体"/>
                        <w:b/>
                        <w:color w:val="FFFFFF"/>
                        <w:sz w:val="24"/>
                      </w:rPr>
                    </w:pPr>
                    <w:r>
                      <w:rPr>
                        <w:rFonts w:hint="eastAsia" w:ascii="宋体" w:hAnsi="宋体"/>
                        <w:b/>
                        <w:color w:val="FFFFFF"/>
                        <w:sz w:val="24"/>
                      </w:rPr>
                      <w:t>期市有风险投资须谨慎</w:t>
                    </w:r>
                  </w:p>
                </w:txbxContent>
              </v:textbox>
            </v:rect>
          </w:pict>
        </mc:Fallback>
      </mc:AlternateContent>
    </w:r>
  </w:p>
  <w:p w14:paraId="4D8641FA">
    <w:pPr>
      <w:pStyle w:val="55"/>
    </w:pPr>
    <w:r>
      <mc:AlternateContent>
        <mc:Choice Requires="wps">
          <w:drawing>
            <wp:anchor distT="0" distB="0" distL="0" distR="0" simplePos="0" relativeHeight="251659264" behindDoc="0" locked="0" layoutInCell="1" allowOverlap="1">
              <wp:simplePos x="0" y="0"/>
              <wp:positionH relativeFrom="column">
                <wp:posOffset>-243840</wp:posOffset>
              </wp:positionH>
              <wp:positionV relativeFrom="page">
                <wp:posOffset>9599295</wp:posOffset>
              </wp:positionV>
              <wp:extent cx="2286000" cy="297180"/>
              <wp:effectExtent l="0" t="0" r="0" b="7620"/>
              <wp:wrapNone/>
              <wp:docPr id="4104" name="Text Box 6"/>
              <wp:cNvGraphicFramePr/>
              <a:graphic xmlns:a="http://schemas.openxmlformats.org/drawingml/2006/main">
                <a:graphicData uri="http://schemas.microsoft.com/office/word/2010/wordprocessingShape">
                  <wps:wsp>
                    <wps:cNvSpPr/>
                    <wps:spPr>
                      <a:xfrm>
                        <a:off x="0" y="0"/>
                        <a:ext cx="2286000" cy="297180"/>
                      </a:xfrm>
                      <a:prstGeom prst="rect">
                        <a:avLst/>
                      </a:prstGeom>
                      <a:ln w="25400" cap="flat" cmpd="sng">
                        <a:solidFill>
                          <a:srgbClr val="CC0000"/>
                        </a:solidFill>
                        <a:prstDash val="solid"/>
                        <a:miter/>
                        <a:headEnd type="none" w="med" len="med"/>
                        <a:tailEnd type="none" w="med" len="med"/>
                      </a:ln>
                    </wps:spPr>
                    <wps:txbx>
                      <w:txbxContent>
                        <w:p w14:paraId="776A1514">
                          <w:pPr>
                            <w:jc w:val="center"/>
                            <w:rPr>
                              <w:rFonts w:ascii="宋体" w:hAnsi="宋体"/>
                              <w:b/>
                              <w:color w:val="CC0000"/>
                            </w:rPr>
                          </w:pPr>
                          <w:r>
                            <w:rPr>
                              <w:rFonts w:hint="eastAsia" w:ascii="宋体" w:hAnsi="宋体"/>
                              <w:b/>
                              <w:color w:val="CC0000"/>
                            </w:rPr>
                            <w:t>敬请参阅文后的免责声明</w:t>
                          </w:r>
                        </w:p>
                      </w:txbxContent>
                    </wps:txbx>
                    <wps:bodyPr wrap="square" upright="1"/>
                  </wps:wsp>
                </a:graphicData>
              </a:graphic>
            </wp:anchor>
          </w:drawing>
        </mc:Choice>
        <mc:Fallback>
          <w:pict>
            <v:rect id="Text Box 6" o:spid="_x0000_s1026" o:spt="1" style="position:absolute;left:0pt;margin-left:-19.2pt;margin-top:755.85pt;height:23.4pt;width:180pt;mso-position-vertical-relative:page;z-index:251659264;mso-width-relative:page;mso-height-relative:page;" filled="f" stroked="t" coordsize="21600,21600" o:gfxdata="UEsDBAoAAAAAAIdO4kAAAAAAAAAAAAAAAAAEAAAAZHJzL1BLAwQUAAAACACHTuJAm4Qmid0AAAAN&#10;AQAADwAAAGRycy9kb3ducmV2LnhtbE2Py27CMBBF95X6D9ZU6g4cEwJRGodFpUpVH0iFIrE0yRCn&#10;9SOKDaR/32HVLmfu0Z0z5Wq0hp1xCJ13EsQ0AYau9k3nWgmf26dJDixE5RplvEMJPxhgVd3elKpo&#10;/MV94HkTW0YlLhRKgo6xLzgPtUarwtT36Cg7+sGqSOPQ8mZQFyq3hs+SZMGt6hxd0KrHR4319+Zk&#10;JbyNOn234vXleYfj19zs19vjci3l/Z1IHoBFHOMfDFd9UoeKnA7+5JrAjIRJms8JpSATYgmMkHQm&#10;FsAO11WWZ8Crkv//ovoFUEsDBBQAAAAIAIdO4kCablyf+AEAAAkEAAAOAAAAZHJzL2Uyb0RvYy54&#10;bWytU01v2zAMvQ/YfxB0X+wEWZYZcQosWXcZtgLtfgAjy7YAfU1UYuffj5LTtOsuOexiUyL5yPdI&#10;be5Go9lJBlTO1nw+KzmTVrhG2a7mv57uP6w5wwi2Ae2srPlZIr/bvn+3GXwlF653upGBEYjFavA1&#10;72P0VVGg6KUBnDkvLTlbFwxEOoauaAIMhG50sSjLVTG40PjghESk2/3k5BfEcAuga1sl5N6Jo5E2&#10;TqhBaohECXvlkW9zt20rRfzZtigj0zUnpjF/qQjZh/QtthuougC+V+LSAtzSwhtOBpSloleoPURg&#10;x6D+gTJKBIeujTPhTDERyYoQi3n5RpvHHrzMXEhq9FfR8f/Bih+nh8BUU/PlvFxyZsHQzJ/kGNkX&#10;N7JVEmjwWFHco38IlxOSmdiObTDpTzzYmEU9X0VNEIIuF4v1qixJb0G+xedP83VWvXjJ9gHjN+kM&#10;S0bNAw0tawmn7xipIoU+h6Ri2rKBkD4uMyjQCrY0esI3nmig7XIyOq2ae6V1SsHQHXY6sBPQGux2&#10;1M5zD3+FpSp7wH6Ky65pQYyKMnGHqpfQfLUNi2dPOll6ITx1Y2TDmZb0oJKVIyMofUsksdOWSCaV&#10;J12TFcfDeBH74JozzWigJSV6v48QqObRB9X1pNY8VcvJtCFZq8s2pxV8fc5RLy94+w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bhCaJ3QAAAA0BAAAPAAAAAAAAAAEAIAAAACIAAABkcnMvZG93bnJl&#10;di54bWxQSwECFAAUAAAACACHTuJAmm5cn/gBAAAJBAAADgAAAAAAAAABACAAAAAsAQAAZHJzL2Uy&#10;b0RvYy54bWxQSwUGAAAAAAYABgBZAQAAlgUAAAAA&#10;">
              <v:fill on="f" focussize="0,0"/>
              <v:stroke weight="2pt" color="#CC0000" joinstyle="miter"/>
              <v:imagedata o:title=""/>
              <o:lock v:ext="edit" aspectratio="f"/>
              <v:textbox>
                <w:txbxContent>
                  <w:p w14:paraId="776A1514">
                    <w:pPr>
                      <w:jc w:val="center"/>
                      <w:rPr>
                        <w:rFonts w:ascii="宋体" w:hAnsi="宋体"/>
                        <w:b/>
                        <w:color w:val="CC0000"/>
                      </w:rPr>
                    </w:pPr>
                    <w:r>
                      <w:rPr>
                        <w:rFonts w:hint="eastAsia" w:ascii="宋体" w:hAnsi="宋体"/>
                        <w:b/>
                        <w:color w:val="CC0000"/>
                      </w:rPr>
                      <w:t>敬请参阅文后的免责声明</w:t>
                    </w:r>
                  </w:p>
                </w:txbxContent>
              </v:textbox>
            </v:rect>
          </w:pict>
        </mc:Fallback>
      </mc:AlternateContent>
    </w:r>
  </w:p>
  <w:p w14:paraId="77B77F4B"/>
  <w:p w14:paraId="2E78ECCC"/>
  <w:p w14:paraId="24CB0B30"/>
  <w:p w14:paraId="4B893FC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434296">
    <w:pPr>
      <w:pStyle w:val="55"/>
      <w:rPr>
        <w:b/>
        <w:i/>
        <w:sz w:val="21"/>
      </w:rPr>
    </w:pPr>
    <w:r>
      <w:rPr>
        <w:rFonts w:hint="eastAsia"/>
        <w:b/>
        <w:i/>
        <w:sz w:val="21"/>
      </w:rPr>
      <w:t>内部交流资料，仅供参考</w:t>
    </w:r>
    <w:r>
      <w:fldChar w:fldCharType="begin"/>
    </w:r>
    <w:r>
      <w:rPr>
        <w:rStyle w:val="92"/>
      </w:rPr>
      <w:instrText xml:space="preserve"> PAGE </w:instrText>
    </w:r>
    <w:r>
      <w:fldChar w:fldCharType="separate"/>
    </w:r>
    <w:r>
      <w:rPr>
        <w:rStyle w:val="92"/>
      </w:rPr>
      <w:t>1</w:t>
    </w:r>
    <w:r>
      <w:fldChar w:fldCharType="end"/>
    </w:r>
  </w:p>
  <w:p w14:paraId="63810AD7"/>
  <w:p w14:paraId="4F83471F"/>
  <w:p w14:paraId="6E8E5D96"/>
  <w:p w14:paraId="623589B2"/>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588274">
    <w:pPr>
      <w:rPr>
        <w:rFonts w:ascii="宋体" w:hAnsi="宋体"/>
        <w:kern w:val="0"/>
        <w:sz w:val="24"/>
      </w:rPr>
    </w:pPr>
    <w:r>
      <w:drawing>
        <wp:anchor distT="0" distB="0" distL="0" distR="0" simplePos="0" relativeHeight="251659264" behindDoc="0" locked="0" layoutInCell="1" allowOverlap="1">
          <wp:simplePos x="0" y="0"/>
          <wp:positionH relativeFrom="column">
            <wp:posOffset>-270510</wp:posOffset>
          </wp:positionH>
          <wp:positionV relativeFrom="paragraph">
            <wp:posOffset>32385</wp:posOffset>
          </wp:positionV>
          <wp:extent cx="2687320" cy="499110"/>
          <wp:effectExtent l="0" t="0" r="17780" b="15240"/>
          <wp:wrapNone/>
          <wp:docPr id="4097" name="图片 1" descr="3200db4055a0b69e265cb00961886ee"/>
          <wp:cNvGraphicFramePr/>
          <a:graphic xmlns:a="http://schemas.openxmlformats.org/drawingml/2006/main">
            <a:graphicData uri="http://schemas.openxmlformats.org/drawingml/2006/picture">
              <pic:pic xmlns:pic="http://schemas.openxmlformats.org/drawingml/2006/picture">
                <pic:nvPicPr>
                  <pic:cNvPr id="4097" name="图片 1" descr="3200db4055a0b69e265cb00961886ee"/>
                  <pic:cNvPicPr/>
                </pic:nvPicPr>
                <pic:blipFill>
                  <a:blip r:embed="rId1" cstate="print"/>
                  <a:srcRect/>
                  <a:stretch>
                    <a:fillRect/>
                  </a:stretch>
                </pic:blipFill>
                <pic:spPr>
                  <a:xfrm>
                    <a:off x="0" y="0"/>
                    <a:ext cx="2687320" cy="499110"/>
                  </a:xfrm>
                  <a:prstGeom prst="rect">
                    <a:avLst/>
                  </a:prstGeom>
                </pic:spPr>
              </pic:pic>
            </a:graphicData>
          </a:graphic>
        </wp:anchor>
      </w:drawing>
    </w:r>
    <w:r>
      <mc:AlternateContent>
        <mc:Choice Requires="wps">
          <w:drawing>
            <wp:anchor distT="0" distB="0" distL="0" distR="0" simplePos="0" relativeHeight="251659264" behindDoc="0" locked="0" layoutInCell="1" allowOverlap="1">
              <wp:simplePos x="0" y="0"/>
              <wp:positionH relativeFrom="column">
                <wp:posOffset>4273550</wp:posOffset>
              </wp:positionH>
              <wp:positionV relativeFrom="paragraph">
                <wp:posOffset>44450</wp:posOffset>
              </wp:positionV>
              <wp:extent cx="2009775" cy="396240"/>
              <wp:effectExtent l="0" t="0" r="0" b="0"/>
              <wp:wrapNone/>
              <wp:docPr id="4098" name="AutoShape 5"/>
              <wp:cNvGraphicFramePr/>
              <a:graphic xmlns:a="http://schemas.openxmlformats.org/drawingml/2006/main">
                <a:graphicData uri="http://schemas.microsoft.com/office/word/2010/wordprocessingShape">
                  <wps:wsp>
                    <wps:cNvSpPr/>
                    <wps:spPr>
                      <a:xfrm>
                        <a:off x="0" y="0"/>
                        <a:ext cx="2009775" cy="396240"/>
                      </a:xfrm>
                      <a:prstGeom prst="roundRect">
                        <a:avLst>
                          <a:gd name="adj" fmla="val 16667"/>
                        </a:avLst>
                      </a:prstGeom>
                      <a:ln>
                        <a:noFill/>
                      </a:ln>
                    </wps:spPr>
                    <wps:txbx>
                      <w:txbxContent>
                        <w:p w14:paraId="0800C127">
                          <w:pPr>
                            <w:ind w:firstLine="1295" w:firstLineChars="539"/>
                            <w:rPr>
                              <w:rFonts w:ascii="黑体" w:eastAsia="黑体"/>
                              <w:b/>
                              <w:color w:val="000000"/>
                              <w:sz w:val="24"/>
                            </w:rPr>
                          </w:pPr>
                          <w:r>
                            <w:rPr>
                              <w:rFonts w:hint="eastAsia" w:ascii="黑体" w:eastAsia="黑体"/>
                              <w:b/>
                              <w:color w:val="000000"/>
                              <w:sz w:val="24"/>
                            </w:rPr>
                            <w:t>交易提示</w:t>
                          </w:r>
                        </w:p>
                      </w:txbxContent>
                    </wps:txbx>
                    <wps:bodyPr wrap="square" upright="1"/>
                  </wps:wsp>
                </a:graphicData>
              </a:graphic>
            </wp:anchor>
          </w:drawing>
        </mc:Choice>
        <mc:Fallback>
          <w:pict>
            <v:roundrect id="AutoShape 5" o:spid="_x0000_s1026" o:spt="2" style="position:absolute;left:0pt;margin-left:336.5pt;margin-top:3.5pt;height:31.2pt;width:158.25pt;z-index:251659264;mso-width-relative:page;mso-height-relative:page;" filled="f" stroked="f" coordsize="21600,21600" arcsize="0.166666666666667" o:gfxdata="UEsDBAoAAAAAAIdO4kAAAAAAAAAAAAAAAAAEAAAAZHJzL1BLAwQUAAAACACHTuJA+I2aBNgAAAAI&#10;AQAADwAAAGRycy9kb3ducmV2LnhtbE2Py07DMBBF90j8gzVI7KhdCk0T4lQ8xAoVROED3GRIAvY4&#10;sp029OsZVrAajc7ozrnlenJW7DHE3pOG+UyBQKp901Or4f3t8WIFIiZDjbGeUMM3RlhXpyelKRp/&#10;oFfcb1MrOIRiYTR0KQ2FlLHu0Jk48wMSsw8fnEm8hlY2wRw43Fl5qdRSOtMTf+jMgPcd1l/b0Wn4&#10;tA/y5U65MWvt87R5yo7hdnHU+vxsrm5AJJzS3zH86rM6VOy08yM1UVgNy2zBXZKGjAfzfJVfg9gx&#10;yK9AVqX8X6D6AVBLAwQUAAAACACHTuJAE2jrZL0BAAB7AwAADgAAAGRycy9lMm9Eb2MueG1srVPL&#10;btswELwX6D8QvNeS3USuDctBASO9FG3QNB9A82Gx4KtcypL/vktKdYrkkkMv1HLJnd2ZoXZ3ozXk&#10;LCNo71q6XNSUSMe90O7U0qef9x8+UQKJOcGMd7KlFwn0bv/+3W4IW7nynTdCRoIgDrZDaGmXUthW&#10;FfBOWgYLH6TDQ+WjZQm38VSJyAZEt6Za1XVTDT6KED2XAJg9TId0RoxvAfRKaS4PnvdWujShRmlY&#10;QkrQ6QB0X6ZVSvL0XSmQiZiWItNUVmyC8TGv1X7HtqfIQqf5PAJ7ywgvOFmmHTa9Qh1YYqSP+hWU&#10;1Tx68CotuLfVRKQogiyW9QttHjsWZOGCUkO4ig7/D5Z/Oz9EokVLb+oNOu+YRc8/98mX5uQ2KzQE&#10;2OLFx/AQ5x1gmOmOKtr8RSJkLKperqrKMRGOSTR9s17fUsLx7OOmWd0U2avn6hAhfZHekhy0NPre&#10;iR9oXVGUnb9CKtKKeTomflGirEGjzsyQZdM06zwmIs6XMfqLmSuNy6vz99qY6V7OVJnWRCRHaTyO&#10;M7ujFxdUZcBn0VL43bMoKelD1KcOx1uWXrkEPSld5/eTTf93X1o8/zP7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iNmgTYAAAACAEAAA8AAAAAAAAAAQAgAAAAIgAAAGRycy9kb3ducmV2LnhtbFBL&#10;AQIUABQAAAAIAIdO4kATaOtkvQEAAHsDAAAOAAAAAAAAAAEAIAAAACcBAABkcnMvZTJvRG9jLnht&#10;bFBLBQYAAAAABgAGAFkBAABWBQAAAAA=&#10;">
              <v:fill on="f" focussize="0,0"/>
              <v:stroke on="f"/>
              <v:imagedata o:title=""/>
              <o:lock v:ext="edit" aspectratio="f"/>
              <v:textbox>
                <w:txbxContent>
                  <w:p w14:paraId="0800C127">
                    <w:pPr>
                      <w:ind w:firstLine="1295" w:firstLineChars="539"/>
                      <w:rPr>
                        <w:rFonts w:ascii="黑体" w:eastAsia="黑体"/>
                        <w:b/>
                        <w:color w:val="000000"/>
                        <w:sz w:val="24"/>
                      </w:rPr>
                    </w:pPr>
                    <w:r>
                      <w:rPr>
                        <w:rFonts w:hint="eastAsia" w:ascii="黑体" w:eastAsia="黑体"/>
                        <w:b/>
                        <w:color w:val="000000"/>
                        <w:sz w:val="24"/>
                      </w:rPr>
                      <w:t>交易提示</w:t>
                    </w:r>
                  </w:p>
                </w:txbxContent>
              </v:textbox>
            </v:roundrect>
          </w:pict>
        </mc:Fallback>
      </mc:AlternateContent>
    </w:r>
    <w:r>
      <mc:AlternateContent>
        <mc:Choice Requires="wps">
          <w:drawing>
            <wp:anchor distT="0" distB="0" distL="0" distR="0" simplePos="0" relativeHeight="251659264" behindDoc="0" locked="0" layoutInCell="1" allowOverlap="1">
              <wp:simplePos x="0" y="0"/>
              <wp:positionH relativeFrom="column">
                <wp:posOffset>4457700</wp:posOffset>
              </wp:positionH>
              <wp:positionV relativeFrom="paragraph">
                <wp:posOffset>440690</wp:posOffset>
              </wp:positionV>
              <wp:extent cx="1828800" cy="635"/>
              <wp:effectExtent l="0" t="0" r="0" b="18415"/>
              <wp:wrapNone/>
              <wp:docPr id="4099" name="Line 3"/>
              <wp:cNvGraphicFramePr/>
              <a:graphic xmlns:a="http://schemas.openxmlformats.org/drawingml/2006/main">
                <a:graphicData uri="http://schemas.microsoft.com/office/word/2010/wordprocessingShape">
                  <wps:wsp>
                    <wps:cNvCnPr/>
                    <wps:spPr>
                      <a:xfrm>
                        <a:off x="0" y="0"/>
                        <a:ext cx="1828800" cy="634"/>
                      </a:xfrm>
                      <a:prstGeom prst="line">
                        <a:avLst/>
                      </a:prstGeom>
                      <a:ln w="19050" cap="flat" cmpd="sng">
                        <a:solidFill>
                          <a:srgbClr val="CC0000"/>
                        </a:solidFill>
                        <a:prstDash val="solid"/>
                        <a:round/>
                        <a:headEnd type="none" w="med" len="med"/>
                        <a:tailEnd type="none" w="med" len="med"/>
                      </a:ln>
                    </wps:spPr>
                    <wps:bodyPr/>
                  </wps:wsp>
                </a:graphicData>
              </a:graphic>
            </wp:anchor>
          </w:drawing>
        </mc:Choice>
        <mc:Fallback>
          <w:pict>
            <v:line id="Line 3" o:spid="_x0000_s1026" o:spt="20" style="position:absolute;left:0pt;margin-left:351pt;margin-top:34.7pt;height:0.05pt;width:144pt;z-index:251659264;mso-width-relative:page;mso-height-relative:page;" filled="f" stroked="t" coordsize="21600,21600" o:gfxdata="UEsDBAoAAAAAAIdO4kAAAAAAAAAAAAAAAAAEAAAAZHJzL1BLAwQUAAAACACHTuJARJMbt9YAAAAJ&#10;AQAADwAAAGRycy9kb3ducmV2LnhtbE2PwU7DMBBE70j8g7VI3KjdCApJ41QCxA2QCJV6dZMljojX&#10;wXba9O/ZnuC4s6OZN+VmdoM4YIi9Jw3LhQKB1Pi2p07D9vPl5gFETIZaM3hCDSeMsKkuL0pTtP5I&#10;H3ioUyc4hGJhNNiUxkLK2Fh0Ji78iMS/Lx+cSXyGTrbBHDncDTJTaiWd6YkbrBnxyWLzXU9OQ3Z6&#10;fn0P0849/tjZ1XV82waXa319tVRrEAnn9GeGMz6jQ8VMez9RG8Wg4V5lvCVpWOW3INiQ54qF/Vm4&#10;A1mV8v+C6hdQSwMEFAAAAAgAh07iQCRwWJfdAQAA3QMAAA4AAABkcnMvZTJvRG9jLnhtbK1TTW/b&#10;MAy9D9h/EHRv7KRdkRhxekjWXYotwLofoEh0LEBfEJU4+fej5CztuksO80GmxMdH8lFaPp2sYUeI&#10;qL1r+XRScwZOeqXdvuW/Xp/v5pxhEk4J4x20/AzIn1afPy2H0MDM994oiIxIHDZDaHmfUmiqCmUP&#10;VuDEB3Dk7Hy0ItE27isVxUDs1lSzun6sBh9ViF4CIp1uRie/MMZbCH3XaQkbLw8WXBpZIxiRqCXs&#10;dUC+KtV2Hcj0o+sQEjMtp05TWSkJ2bu8VqulaPZRhF7LSwnilhI+9GSFdpT0SrURSbBD1P9QWS2j&#10;R9+lifS2GhspilAX0/qDNj97EaD0QlJjuIqO/49Wfj9uI9Oq5Q/1YsGZE5Zm/qIdsPsszhCwIcza&#10;beNlh2Ebc6enLtr8px7YqQh6vgoKp8QkHU7ns/m8Jq0l+R7vHzJj9RYaIqZv4C3LRssNZS0iiuML&#10;phH6B5IzGccG4lzUXzKjoLvX0czJtIHqR7cvweiNVs/amByCcb9bm8iOgua/Xtf0XWr4C5azbAT2&#10;I664Mkw00R+cKlYPQn11iqVzIIEcPQ2eq7GgODNALylbBZmENrcgSQjjSI8s8ShqtnZenYvW5Zym&#10;XhS73NB8rd7vS/Tbq1z9B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ESTG7fWAAAACQEAAA8AAAAA&#10;AAAAAQAgAAAAIgAAAGRycy9kb3ducmV2LnhtbFBLAQIUABQAAAAIAIdO4kAkcFiX3QEAAN0DAAAO&#10;AAAAAAAAAAEAIAAAACUBAABkcnMvZTJvRG9jLnhtbFBLBQYAAAAABgAGAFkBAAB0BQAAAAA=&#10;">
              <v:fill on="f" focussize="0,0"/>
              <v:stroke weight="1.5pt" color="#CC0000" joinstyle="round"/>
              <v:imagedata o:title=""/>
              <o:lock v:ext="edit" aspectratio="f"/>
            </v:line>
          </w:pict>
        </mc:Fallback>
      </mc:AlternateContent>
    </w:r>
    <w:r>
      <mc:AlternateContent>
        <mc:Choice Requires="wps">
          <w:drawing>
            <wp:anchor distT="0" distB="0" distL="0" distR="0" simplePos="0" relativeHeight="251659264" behindDoc="0" locked="0" layoutInCell="1" allowOverlap="1">
              <wp:simplePos x="0" y="0"/>
              <wp:positionH relativeFrom="column">
                <wp:posOffset>4343400</wp:posOffset>
              </wp:positionH>
              <wp:positionV relativeFrom="paragraph">
                <wp:posOffset>341630</wp:posOffset>
              </wp:positionV>
              <wp:extent cx="1828800" cy="635"/>
              <wp:effectExtent l="0" t="0" r="0" b="18415"/>
              <wp:wrapNone/>
              <wp:docPr id="4100" name="Line 4"/>
              <wp:cNvGraphicFramePr/>
              <a:graphic xmlns:a="http://schemas.openxmlformats.org/drawingml/2006/main">
                <a:graphicData uri="http://schemas.microsoft.com/office/word/2010/wordprocessingShape">
                  <wps:wsp>
                    <wps:cNvCnPr/>
                    <wps:spPr>
                      <a:xfrm>
                        <a:off x="0" y="0"/>
                        <a:ext cx="1828800" cy="633"/>
                      </a:xfrm>
                      <a:prstGeom prst="line">
                        <a:avLst/>
                      </a:prstGeom>
                      <a:ln w="15875" cap="flat" cmpd="sng">
                        <a:solidFill>
                          <a:srgbClr val="CC0000"/>
                        </a:solidFill>
                        <a:prstDash val="solid"/>
                        <a:round/>
                        <a:headEnd type="none" w="med" len="med"/>
                        <a:tailEnd type="none" w="med" len="med"/>
                      </a:ln>
                    </wps:spPr>
                    <wps:bodyPr/>
                  </wps:wsp>
                </a:graphicData>
              </a:graphic>
            </wp:anchor>
          </w:drawing>
        </mc:Choice>
        <mc:Fallback>
          <w:pict>
            <v:line id="Line 4" o:spid="_x0000_s1026" o:spt="20" style="position:absolute;left:0pt;margin-left:342pt;margin-top:26.9pt;height:0.05pt;width:144pt;z-index:251659264;mso-width-relative:page;mso-height-relative:page;" filled="f" stroked="t" coordsize="21600,21600" o:gfxdata="UEsDBAoAAAAAAIdO4kAAAAAAAAAAAAAAAAAEAAAAZHJzL1BLAwQUAAAACACHTuJA5oKFsNoAAAAJ&#10;AQAADwAAAGRycy9kb3ducmV2LnhtbE2PS0/DMBCE70j8B2uRuFGngb5CnAohoUpIqKJFCG6b2MRR&#10;43Vkuw/49WxPcNzZ0cx85fLkenEwIXaeFIxHGQhDjdcdtQretk83cxAxIWnsPRkF3ybCsrq8KLHQ&#10;/kiv5rBJreAQigUqsCkNhZSxscZhHPnBEP++fHCY+Ayt1AGPHO56mWfZVDrsiBssDubRmma32TsF&#10;q239ibvnfP0wqYNdzX7cx/uLU+r6apzdg0jmlP7McJ7P06HiTbXfk46iVzCd3zFLUjC5ZQQ2LGY5&#10;C/VZWICsSvmfoPoFUEsDBBQAAAAIAIdO4kAu0XZ13AEAAN0DAAAOAAAAZHJzL2Uyb0RvYy54bWyt&#10;U8uO2zAMvBfoPwi6N3ayjwZGnD0k3V4WbYBuP4CRZFuAXhCVOPn7UnKabbeXHOqDTInDITmUVk8n&#10;a9hRRdTetXw+qzlTTnipXd/yn6/Pn5acYQInwXinWn5WyJ/WHz+sxtCohR+8kSoyInHYjKHlQ0qh&#10;qSoUg7KAMx+UI2fno4VE29hXMsJI7NZUi7p+rEYfZYheKEQ63U5OfmGMtxD6rtNCbb04WOXSxBqV&#10;gUQt4aAD8nWptuuUSN+7DlVipuXUaSorJSF7n9dqvYKmjxAGLS4lwC0lvOvJgnaU9Eq1hQTsEPU/&#10;VFaL6NF3aSa8raZGiiLUxbx+p82PAYIqvZDUGK6i4/+jFd+Ou8i0bPn9vCZRHFia+Yt2it1nccaA&#10;DWE2bhcvOwy7mDs9ddHmP/XATkXQ81VQdUpM0OF8uVguM60g3+PdXWas3kJDxPRVecuy0XJDWYuI&#10;cHzBNEF/Q3Im49hInA/Lzw/ECHT3Opo5mTZQ/ej6EozeaPmsjckhGPv9xkR2BJr/ZlPTd6nhL1jO&#10;sgUcJlxxZRg00R+cLNagQH5xkqVzIIEcPQ2eq7FKcmYUvaRsFWQCbW5BkhDGkR5Z4knUbO29PBet&#10;yzlNvSh2uaH5Wv25L9Fvr3L9C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OaChbDaAAAACQEAAA8A&#10;AAAAAAAAAQAgAAAAIgAAAGRycy9kb3ducmV2LnhtbFBLAQIUABQAAAAIAIdO4kAu0XZ13AEAAN0D&#10;AAAOAAAAAAAAAAEAIAAAACkBAABkcnMvZTJvRG9jLnhtbFBLBQYAAAAABgAGAFkBAAB3BQAAAAA=&#10;">
              <v:fill on="f" focussize="0,0"/>
              <v:stroke weight="1.25pt" color="#CC0000" joinstyle="round"/>
              <v:imagedata o:title=""/>
              <o:lock v:ext="edit" aspectratio="f"/>
            </v:line>
          </w:pict>
        </mc:Fallback>
      </mc:AlternateContent>
    </w:r>
  </w:p>
  <w:p w14:paraId="1E275D8E">
    <w:pPr>
      <w:pStyle w:val="57"/>
      <w:pBdr>
        <w:bottom w:val="none" w:color="auto" w:sz="0" w:space="0"/>
      </w:pBdr>
      <w:jc w:val="both"/>
    </w:pPr>
    <w:r>
      <mc:AlternateContent>
        <mc:Choice Requires="wps">
          <w:drawing>
            <wp:anchor distT="0" distB="0" distL="0" distR="0" simplePos="0" relativeHeight="251659264" behindDoc="0" locked="0" layoutInCell="1" allowOverlap="1">
              <wp:simplePos x="0" y="0"/>
              <wp:positionH relativeFrom="column">
                <wp:posOffset>-224155</wp:posOffset>
              </wp:positionH>
              <wp:positionV relativeFrom="page">
                <wp:posOffset>1080135</wp:posOffset>
              </wp:positionV>
              <wp:extent cx="6623685" cy="11430"/>
              <wp:effectExtent l="0" t="0" r="5715" b="7620"/>
              <wp:wrapNone/>
              <wp:docPr id="4101" name="Line 1"/>
              <wp:cNvGraphicFramePr/>
              <a:graphic xmlns:a="http://schemas.openxmlformats.org/drawingml/2006/main">
                <a:graphicData uri="http://schemas.microsoft.com/office/word/2010/wordprocessingShape">
                  <wps:wsp>
                    <wps:cNvCnPr/>
                    <wps:spPr>
                      <a:xfrm>
                        <a:off x="0" y="0"/>
                        <a:ext cx="6623684" cy="11430"/>
                      </a:xfrm>
                      <a:prstGeom prst="line">
                        <a:avLst/>
                      </a:prstGeom>
                      <a:ln w="25400" cap="flat" cmpd="sng">
                        <a:solidFill>
                          <a:srgbClr val="CC0000"/>
                        </a:solidFill>
                        <a:prstDash val="solid"/>
                        <a:round/>
                        <a:headEnd type="none" w="med" len="med"/>
                        <a:tailEnd type="none" w="med" len="med"/>
                      </a:ln>
                    </wps:spPr>
                    <wps:bodyPr/>
                  </wps:wsp>
                </a:graphicData>
              </a:graphic>
            </wp:anchor>
          </w:drawing>
        </mc:Choice>
        <mc:Fallback>
          <w:pict>
            <v:line id="Line 1" o:spid="_x0000_s1026" o:spt="20" style="position:absolute;left:0pt;margin-left:-17.65pt;margin-top:85.05pt;height:0.9pt;width:521.55pt;mso-position-vertical-relative:page;z-index:251659264;mso-width-relative:page;mso-height-relative:page;" filled="f" stroked="t" coordsize="21600,21600" o:gfxdata="UEsDBAoAAAAAAIdO4kAAAAAAAAAAAAAAAAAEAAAAZHJzL1BLAwQUAAAACACHTuJAPiCh/doAAAAM&#10;AQAADwAAAGRycy9kb3ducmV2LnhtbE2PwU7DMBBE70j8g7VIXFBrpxVNG+L0gFROCEHJgaObbOOo&#10;8TqK3abw9WxOcNyZp9mZfHt1nbjgEFpPGpK5AoFU+bqlRkP5uZutQYRoqDadJ9TwjQG2xe1NbrLa&#10;j/SBl31sBIdQyIwGG2OfSRkqi86Eue+R2Dv6wZnI59DIejAjh7tOLpRaSWda4g/W9PhssTrtz07D&#10;e/O2KK3dveLP14rW6UM5vlQnre/vEvUEIuI1/sEw1efqUHCngz9THUSnYbZ8XDLKRqoSEBOhVMpr&#10;DpOUbEAWufw/ovgFUEsDBBQAAAAIAIdO4kDLVIr54wEAAN8DAAAOAAAAZHJzL2Uyb0RvYy54bWyt&#10;U01v2zAMvQ/YfxB0X2ynWVAYcXpI1l2KLcC2H8BIcixAXxCVOPn3o+QsXbtLDvNBpiTyke+RWj2d&#10;rWEnFVF71/FmVnOmnPBSu0PHf/18/vTIGSZwEox3quMXhfxp/fHDagytmvvBG6kiIxCH7Rg6PqQU&#10;2qpCMSgLOPNBObrsfbSQaBsPlYwwEro11byul9XoowzRC4VIp9vpkl8R4z2Avu+1UFsvjla5NKFG&#10;ZSARJRx0QL4u1fa9Eul736NKzHScmKayUhKy93mt1itoDxHCoMW1BLinhHecLGhHSW9QW0jAjlH/&#10;A2W1iB59n2bC22oiUhQhFk39TpsfAwRVuJDUGG6i4/+DFd9Ou8i07PiiqRvOHFjq+Yt2ijVZnDFg&#10;Sz4bt4vXHYZdzEzPfbT5TxzYuQh6uQmqzokJOlwu5w/LxwVngu6aZvFQBK9eg0PE9FV5y7LRcUN5&#10;i4xwesFECcn1j0vOZRwbOz7/vKipfwJo+nrqOpk2EAN0hxKM3mj5rI3JIRgP+42J7AQ0AZtNTV/m&#10;RcBv3HKWLeAw+ZWraTaiPzpJAdAOCuQXJ1m6BJLI0ePguRqrJGdG0VvKVvFMoM09nlSEcVRLFnmS&#10;NVt7Ly9F7XJOfS/VXmc0D9bf+xL9+i7X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IKH92gAA&#10;AAwBAAAPAAAAAAAAAAEAIAAAACIAAABkcnMvZG93bnJldi54bWxQSwECFAAUAAAACACHTuJAy1SK&#10;+eMBAADfAwAADgAAAAAAAAABACAAAAApAQAAZHJzL2Uyb0RvYy54bWxQSwUGAAAAAAYABgBZAQAA&#10;fgUAAAAA&#10;">
              <v:fill on="f" focussize="0,0"/>
              <v:stroke weight="2pt" color="#CC0000" joinstyle="round"/>
              <v:imagedata o:title=""/>
              <o:lock v:ext="edit" aspectratio="f"/>
            </v:line>
          </w:pict>
        </mc:Fallback>
      </mc:AlternateContent>
    </w:r>
  </w:p>
  <w:p w14:paraId="4B21154D"/>
  <w:p w14:paraId="590C67AA"/>
  <w:p w14:paraId="6B819AFD"/>
  <w:p w14:paraId="36635579"/>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BDAC46">
    <w:pPr>
      <w:pStyle w:val="57"/>
    </w:pPr>
    <w:r>
      <w:rPr>
        <w:rFonts w:hint="eastAsia"/>
        <w:i/>
        <w:sz w:val="21"/>
      </w:rPr>
      <w:t>新世纪期货市场研发部</w:t>
    </w:r>
    <w:r>
      <w:rPr>
        <w:rFonts w:ascii="Times New Roman" w:hAnsi="Times New Roman"/>
        <w:i/>
        <w:sz w:val="21"/>
      </w:rPr>
      <w:t>http</w:t>
    </w:r>
    <w:r>
      <w:rPr>
        <w:rFonts w:ascii="Times New Roman"/>
        <w:i/>
        <w:sz w:val="21"/>
      </w:rPr>
      <w:t>：</w:t>
    </w:r>
    <w:r>
      <w:rPr>
        <w:rFonts w:ascii="Times New Roman" w:hAnsi="Times New Roman"/>
        <w:i/>
        <w:sz w:val="21"/>
      </w:rPr>
      <w:t>// www.zjncf.com.cn</w:t>
    </w:r>
  </w:p>
  <w:p w14:paraId="1E050172"/>
  <w:p w14:paraId="2F5AA96A"/>
  <w:p w14:paraId="38FB31A5"/>
  <w:p w14:paraId="0D3331C9"/>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attachedTemplate r:id="rId1"/>
  <w:documentProtection w:enforcement="0"/>
  <w:defaultTabStop w:val="420"/>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EC4069"/>
    <w:rsid w:val="07BFD2B2"/>
    <w:rsid w:val="0FEFE8A5"/>
    <w:rsid w:val="0FFB830E"/>
    <w:rsid w:val="12D7E696"/>
    <w:rsid w:val="17FF33AF"/>
    <w:rsid w:val="1BFFDE7F"/>
    <w:rsid w:val="1E3F5053"/>
    <w:rsid w:val="1F536ED8"/>
    <w:rsid w:val="1F7B5276"/>
    <w:rsid w:val="2DF7AD56"/>
    <w:rsid w:val="2EDD0EC3"/>
    <w:rsid w:val="32B7A745"/>
    <w:rsid w:val="34BB30CA"/>
    <w:rsid w:val="35DC55F4"/>
    <w:rsid w:val="36FD91F2"/>
    <w:rsid w:val="38FFADC7"/>
    <w:rsid w:val="3CF5C093"/>
    <w:rsid w:val="3D573796"/>
    <w:rsid w:val="3EFC83C5"/>
    <w:rsid w:val="3F7F35DB"/>
    <w:rsid w:val="3FBB9935"/>
    <w:rsid w:val="3FDFF1E8"/>
    <w:rsid w:val="3FF5C278"/>
    <w:rsid w:val="3FFE9DB7"/>
    <w:rsid w:val="47A14293"/>
    <w:rsid w:val="47FF3981"/>
    <w:rsid w:val="49CF9452"/>
    <w:rsid w:val="4E3FB2E8"/>
    <w:rsid w:val="4FDDBDE6"/>
    <w:rsid w:val="4FFD32FA"/>
    <w:rsid w:val="517FDA85"/>
    <w:rsid w:val="51BBA523"/>
    <w:rsid w:val="577F4444"/>
    <w:rsid w:val="579B1860"/>
    <w:rsid w:val="579FAA89"/>
    <w:rsid w:val="57FF5372"/>
    <w:rsid w:val="5B8B1199"/>
    <w:rsid w:val="5BBB1F67"/>
    <w:rsid w:val="5CFF1319"/>
    <w:rsid w:val="5DD71F91"/>
    <w:rsid w:val="5EF53108"/>
    <w:rsid w:val="5F674DA2"/>
    <w:rsid w:val="5FBFEEE8"/>
    <w:rsid w:val="5FF35F93"/>
    <w:rsid w:val="63E61662"/>
    <w:rsid w:val="63F3BB6C"/>
    <w:rsid w:val="63FB567A"/>
    <w:rsid w:val="65055AD5"/>
    <w:rsid w:val="652D811F"/>
    <w:rsid w:val="65FE8872"/>
    <w:rsid w:val="66DF9EF7"/>
    <w:rsid w:val="677F4F5C"/>
    <w:rsid w:val="67EB4EA9"/>
    <w:rsid w:val="6AA7A699"/>
    <w:rsid w:val="6BDFC1EE"/>
    <w:rsid w:val="6BF40795"/>
    <w:rsid w:val="6BF73E14"/>
    <w:rsid w:val="6CDE34CD"/>
    <w:rsid w:val="6CFA1CDB"/>
    <w:rsid w:val="6CFF650D"/>
    <w:rsid w:val="6D7D1855"/>
    <w:rsid w:val="6D9C890B"/>
    <w:rsid w:val="6DF14C73"/>
    <w:rsid w:val="6DFAAB9A"/>
    <w:rsid w:val="6EFFE78A"/>
    <w:rsid w:val="6F6FE016"/>
    <w:rsid w:val="6FD59152"/>
    <w:rsid w:val="6FF1DD69"/>
    <w:rsid w:val="735A3DB7"/>
    <w:rsid w:val="73BBADE5"/>
    <w:rsid w:val="75FC035C"/>
    <w:rsid w:val="76B733B6"/>
    <w:rsid w:val="773C1D3A"/>
    <w:rsid w:val="777C4320"/>
    <w:rsid w:val="77EFF5ED"/>
    <w:rsid w:val="77EFFFFA"/>
    <w:rsid w:val="77F7574E"/>
    <w:rsid w:val="79BD1837"/>
    <w:rsid w:val="79CD754F"/>
    <w:rsid w:val="79F9392F"/>
    <w:rsid w:val="7B3A9245"/>
    <w:rsid w:val="7BDFA245"/>
    <w:rsid w:val="7BE91E53"/>
    <w:rsid w:val="7BF77C55"/>
    <w:rsid w:val="7D3EE738"/>
    <w:rsid w:val="7D8F3B43"/>
    <w:rsid w:val="7D9ECE43"/>
    <w:rsid w:val="7DDFDA2F"/>
    <w:rsid w:val="7DEFA27B"/>
    <w:rsid w:val="7DF5DFB4"/>
    <w:rsid w:val="7E3F35B9"/>
    <w:rsid w:val="7E6B20A8"/>
    <w:rsid w:val="7E6F0F85"/>
    <w:rsid w:val="7E8BCF25"/>
    <w:rsid w:val="7EA7C483"/>
    <w:rsid w:val="7EB0EAE4"/>
    <w:rsid w:val="7ED7DA11"/>
    <w:rsid w:val="7EECCF48"/>
    <w:rsid w:val="7EED1685"/>
    <w:rsid w:val="7EF93629"/>
    <w:rsid w:val="7EFF4F34"/>
    <w:rsid w:val="7F7EBF3C"/>
    <w:rsid w:val="7F7F8611"/>
    <w:rsid w:val="7F7FB6A4"/>
    <w:rsid w:val="7F9FA195"/>
    <w:rsid w:val="7FBB54E2"/>
    <w:rsid w:val="7FCFDA03"/>
    <w:rsid w:val="7FD693E0"/>
    <w:rsid w:val="7FDE3C43"/>
    <w:rsid w:val="7FDF0AAD"/>
    <w:rsid w:val="7FDF1896"/>
    <w:rsid w:val="7FED4EAD"/>
    <w:rsid w:val="7FF8C5B9"/>
    <w:rsid w:val="7FFB63DD"/>
    <w:rsid w:val="7FFC7D1D"/>
    <w:rsid w:val="7FFF9632"/>
    <w:rsid w:val="8DF6E799"/>
    <w:rsid w:val="8E5549FD"/>
    <w:rsid w:val="93CB33C5"/>
    <w:rsid w:val="97C3DA11"/>
    <w:rsid w:val="97FF812F"/>
    <w:rsid w:val="9AF5E92C"/>
    <w:rsid w:val="9E47F6E8"/>
    <w:rsid w:val="9EEB5F84"/>
    <w:rsid w:val="AFD97BBC"/>
    <w:rsid w:val="AFF5ADD9"/>
    <w:rsid w:val="B6FFE15D"/>
    <w:rsid w:val="B79D662A"/>
    <w:rsid w:val="B7EF4D71"/>
    <w:rsid w:val="B7FBC848"/>
    <w:rsid w:val="BBF6FF01"/>
    <w:rsid w:val="BBF854BF"/>
    <w:rsid w:val="BD51E098"/>
    <w:rsid w:val="BEDF414B"/>
    <w:rsid w:val="BFBFF22D"/>
    <w:rsid w:val="BFF7FB23"/>
    <w:rsid w:val="BFFFF64F"/>
    <w:rsid w:val="C3FBCEB5"/>
    <w:rsid w:val="C7F2C22E"/>
    <w:rsid w:val="C7F79C1C"/>
    <w:rsid w:val="CAD6DDCA"/>
    <w:rsid w:val="CDDEEB1D"/>
    <w:rsid w:val="CEFD7D99"/>
    <w:rsid w:val="CF7387DC"/>
    <w:rsid w:val="CFDE2A83"/>
    <w:rsid w:val="CFFB67D7"/>
    <w:rsid w:val="CFFD4C2E"/>
    <w:rsid w:val="D35FD8FC"/>
    <w:rsid w:val="D77EB971"/>
    <w:rsid w:val="D7C7D7B4"/>
    <w:rsid w:val="D7FE126E"/>
    <w:rsid w:val="DA7DE4A1"/>
    <w:rsid w:val="DB732FF1"/>
    <w:rsid w:val="DDFE135B"/>
    <w:rsid w:val="DE7AE5EA"/>
    <w:rsid w:val="DEBB1AE7"/>
    <w:rsid w:val="DECF6893"/>
    <w:rsid w:val="DED132FC"/>
    <w:rsid w:val="DF79C95C"/>
    <w:rsid w:val="DFAB3AB2"/>
    <w:rsid w:val="DFED9132"/>
    <w:rsid w:val="DFEF8AFA"/>
    <w:rsid w:val="E37F4BE5"/>
    <w:rsid w:val="E6796613"/>
    <w:rsid w:val="E7C79D28"/>
    <w:rsid w:val="E7FE5E0D"/>
    <w:rsid w:val="EBBBE271"/>
    <w:rsid w:val="EBFF8839"/>
    <w:rsid w:val="ECEB1666"/>
    <w:rsid w:val="ECF6438C"/>
    <w:rsid w:val="ED3DBC95"/>
    <w:rsid w:val="EE48CA0A"/>
    <w:rsid w:val="EF7F57BF"/>
    <w:rsid w:val="EFA71FB0"/>
    <w:rsid w:val="EFAF6CA4"/>
    <w:rsid w:val="EFF7300B"/>
    <w:rsid w:val="F1FF2447"/>
    <w:rsid w:val="F29F06B5"/>
    <w:rsid w:val="F36FCCD2"/>
    <w:rsid w:val="F378FFE6"/>
    <w:rsid w:val="F58A626D"/>
    <w:rsid w:val="F6177495"/>
    <w:rsid w:val="F6B54A09"/>
    <w:rsid w:val="F75E9D64"/>
    <w:rsid w:val="F76D181B"/>
    <w:rsid w:val="F78C0A27"/>
    <w:rsid w:val="F7AE8984"/>
    <w:rsid w:val="F7B6FD5A"/>
    <w:rsid w:val="F7C71211"/>
    <w:rsid w:val="F7FBA1E8"/>
    <w:rsid w:val="F9BBAD69"/>
    <w:rsid w:val="F9FCE0D1"/>
    <w:rsid w:val="FA705AE0"/>
    <w:rsid w:val="FAF31EA4"/>
    <w:rsid w:val="FAF77246"/>
    <w:rsid w:val="FB25F69A"/>
    <w:rsid w:val="FB77AE5E"/>
    <w:rsid w:val="FBDBE0E9"/>
    <w:rsid w:val="FBF79783"/>
    <w:rsid w:val="FD3FEBD7"/>
    <w:rsid w:val="FE495A21"/>
    <w:rsid w:val="FE66802C"/>
    <w:rsid w:val="FEF9EDAB"/>
    <w:rsid w:val="FEFADA26"/>
    <w:rsid w:val="FF1F0363"/>
    <w:rsid w:val="FF2FC360"/>
    <w:rsid w:val="FF35009F"/>
    <w:rsid w:val="FF362BB0"/>
    <w:rsid w:val="FF3E4E36"/>
    <w:rsid w:val="FFCF2278"/>
    <w:rsid w:val="FFDB00AB"/>
    <w:rsid w:val="FFDD96B7"/>
    <w:rsid w:val="FFDDCEA8"/>
    <w:rsid w:val="FFDEFCE2"/>
    <w:rsid w:val="FFDF7CBB"/>
    <w:rsid w:val="FFFD432E"/>
    <w:rsid w:val="FFFEBF96"/>
    <w:rsid w:val="FFFF578B"/>
    <w:rsid w:val="FFFF97CA"/>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nhideWhenUsed="0" w:uiPriority="0" w:semiHidden="0" w:name="List"/>
    <w:lsdException w:qFormat="1" w:unhideWhenUsed="0" w:uiPriority="0" w:semiHidden="0" w:name="List Bullet"/>
    <w:lsdException w:qFormat="1" w:unhideWhenUsed="0" w:uiPriority="0" w:semiHidden="0" w:name="List Number"/>
    <w:lsdException w:qFormat="1" w:unhideWhenUsed="0" w:uiPriority="0"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nhideWhenUsed="0" w:uiPriority="1" w:semiHidden="0"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qFormat="1"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0"/>
    <w:pPr>
      <w:keepNext/>
      <w:keepLines/>
      <w:spacing w:before="340" w:after="330" w:line="576" w:lineRule="auto"/>
      <w:outlineLvl w:val="0"/>
    </w:pPr>
    <w:rPr>
      <w:b/>
      <w:kern w:val="44"/>
      <w:sz w:val="44"/>
    </w:rPr>
  </w:style>
  <w:style w:type="paragraph" w:styleId="4">
    <w:name w:val="heading 2"/>
    <w:basedOn w:val="1"/>
    <w:next w:val="1"/>
    <w:qFormat/>
    <w:uiPriority w:val="0"/>
    <w:pPr>
      <w:keepNext/>
      <w:keepLines/>
      <w:spacing w:before="260" w:after="260" w:line="413" w:lineRule="auto"/>
      <w:outlineLvl w:val="1"/>
    </w:pPr>
    <w:rPr>
      <w:sz w:val="28"/>
    </w:rPr>
  </w:style>
  <w:style w:type="paragraph" w:styleId="5">
    <w:name w:val="heading 3"/>
    <w:basedOn w:val="1"/>
    <w:next w:val="1"/>
    <w:qFormat/>
    <w:uiPriority w:val="0"/>
    <w:pPr>
      <w:keepNext/>
      <w:keepLines/>
      <w:spacing w:before="260" w:after="260" w:line="413" w:lineRule="auto"/>
      <w:outlineLvl w:val="2"/>
    </w:pPr>
    <w:rPr>
      <w:b/>
      <w:sz w:val="32"/>
    </w:rPr>
  </w:style>
  <w:style w:type="paragraph" w:styleId="6">
    <w:name w:val="heading 4"/>
    <w:basedOn w:val="1"/>
    <w:next w:val="1"/>
    <w:qFormat/>
    <w:uiPriority w:val="0"/>
    <w:pPr>
      <w:keepNext/>
      <w:keepLines/>
      <w:spacing w:before="280" w:after="290" w:line="372" w:lineRule="auto"/>
      <w:outlineLvl w:val="3"/>
    </w:pPr>
    <w:rPr>
      <w:rFonts w:ascii="Arial" w:hAnsi="Arial" w:eastAsia="黑体"/>
      <w:b/>
      <w:sz w:val="28"/>
    </w:rPr>
  </w:style>
  <w:style w:type="paragraph" w:styleId="7">
    <w:name w:val="heading 5"/>
    <w:basedOn w:val="1"/>
    <w:next w:val="1"/>
    <w:qFormat/>
    <w:uiPriority w:val="0"/>
    <w:pPr>
      <w:keepNext/>
      <w:keepLines/>
      <w:spacing w:before="280" w:after="290" w:line="372" w:lineRule="auto"/>
      <w:outlineLvl w:val="4"/>
    </w:pPr>
    <w:rPr>
      <w:b/>
      <w:sz w:val="28"/>
    </w:rPr>
  </w:style>
  <w:style w:type="paragraph" w:styleId="8">
    <w:name w:val="heading 6"/>
    <w:basedOn w:val="1"/>
    <w:next w:val="1"/>
    <w:qFormat/>
    <w:uiPriority w:val="0"/>
    <w:pPr>
      <w:keepNext/>
      <w:keepLines/>
      <w:spacing w:before="240" w:after="64" w:line="317" w:lineRule="auto"/>
      <w:outlineLvl w:val="5"/>
    </w:pPr>
    <w:rPr>
      <w:rFonts w:ascii="Arial" w:hAnsi="Arial" w:eastAsia="黑体"/>
      <w:b/>
      <w:sz w:val="24"/>
    </w:rPr>
  </w:style>
  <w:style w:type="paragraph" w:styleId="9">
    <w:name w:val="heading 7"/>
    <w:basedOn w:val="1"/>
    <w:next w:val="1"/>
    <w:qFormat/>
    <w:uiPriority w:val="0"/>
    <w:pPr>
      <w:keepNext/>
      <w:keepLines/>
      <w:spacing w:before="240" w:after="64" w:line="317" w:lineRule="auto"/>
      <w:outlineLvl w:val="6"/>
    </w:pPr>
    <w:rPr>
      <w:b/>
      <w:sz w:val="24"/>
    </w:rPr>
  </w:style>
  <w:style w:type="paragraph" w:styleId="10">
    <w:name w:val="heading 8"/>
    <w:basedOn w:val="1"/>
    <w:next w:val="1"/>
    <w:qFormat/>
    <w:uiPriority w:val="0"/>
    <w:pPr>
      <w:keepNext/>
      <w:keepLines/>
      <w:spacing w:before="240" w:after="64" w:line="317" w:lineRule="auto"/>
      <w:outlineLvl w:val="7"/>
    </w:pPr>
    <w:rPr>
      <w:rFonts w:ascii="Arial" w:hAnsi="Arial" w:eastAsia="黑体"/>
      <w:sz w:val="24"/>
    </w:rPr>
  </w:style>
  <w:style w:type="paragraph" w:styleId="11">
    <w:name w:val="heading 9"/>
    <w:basedOn w:val="1"/>
    <w:next w:val="1"/>
    <w:qFormat/>
    <w:uiPriority w:val="0"/>
    <w:pPr>
      <w:keepNext/>
      <w:keepLines/>
      <w:spacing w:before="240" w:after="64" w:line="317" w:lineRule="auto"/>
      <w:outlineLvl w:val="8"/>
    </w:pPr>
    <w:rPr>
      <w:rFonts w:ascii="Arial" w:hAnsi="Arial" w:eastAsia="黑体"/>
    </w:rPr>
  </w:style>
  <w:style w:type="character" w:default="1" w:styleId="90">
    <w:name w:val="Default Paragraph Font"/>
    <w:qFormat/>
    <w:uiPriority w:val="1"/>
  </w:style>
  <w:style w:type="table" w:default="1" w:styleId="88">
    <w:name w:val="Normal Table"/>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macro"/>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Times New Roman"/>
      <w:kern w:val="2"/>
      <w:sz w:val="24"/>
      <w:lang w:val="en-US" w:eastAsia="zh-CN" w:bidi="ar-SA"/>
    </w:rPr>
  </w:style>
  <w:style w:type="paragraph" w:styleId="12">
    <w:name w:val="List 3"/>
    <w:basedOn w:val="1"/>
    <w:qFormat/>
    <w:uiPriority w:val="0"/>
    <w:pPr>
      <w:ind w:left="100" w:leftChars="400" w:hanging="200" w:hangingChars="200"/>
    </w:pPr>
  </w:style>
  <w:style w:type="paragraph" w:styleId="13">
    <w:name w:val="toc 7"/>
    <w:basedOn w:val="1"/>
    <w:next w:val="1"/>
    <w:qFormat/>
    <w:uiPriority w:val="0"/>
    <w:pPr>
      <w:ind w:left="2520" w:leftChars="1200"/>
    </w:pPr>
  </w:style>
  <w:style w:type="paragraph" w:styleId="14">
    <w:name w:val="List Number 2"/>
    <w:basedOn w:val="1"/>
    <w:qFormat/>
    <w:uiPriority w:val="0"/>
    <w:pPr>
      <w:tabs>
        <w:tab w:val="left" w:pos="780"/>
      </w:tabs>
      <w:ind w:left="780" w:hanging="360"/>
    </w:pPr>
  </w:style>
  <w:style w:type="paragraph" w:styleId="15">
    <w:name w:val="table of authorities"/>
    <w:basedOn w:val="1"/>
    <w:next w:val="1"/>
    <w:qFormat/>
    <w:uiPriority w:val="0"/>
    <w:pPr>
      <w:ind w:left="420" w:leftChars="200"/>
    </w:pPr>
  </w:style>
  <w:style w:type="paragraph" w:styleId="16">
    <w:name w:val="Note Heading"/>
    <w:basedOn w:val="1"/>
    <w:next w:val="1"/>
    <w:qFormat/>
    <w:uiPriority w:val="0"/>
    <w:pPr>
      <w:jc w:val="center"/>
    </w:pPr>
  </w:style>
  <w:style w:type="paragraph" w:styleId="17">
    <w:name w:val="List Bullet 4"/>
    <w:basedOn w:val="1"/>
    <w:qFormat/>
    <w:uiPriority w:val="0"/>
    <w:pPr>
      <w:tabs>
        <w:tab w:val="left" w:pos="1620"/>
      </w:tabs>
      <w:ind w:left="1620" w:hanging="360"/>
    </w:pPr>
  </w:style>
  <w:style w:type="paragraph" w:styleId="18">
    <w:name w:val="index 8"/>
    <w:basedOn w:val="1"/>
    <w:next w:val="1"/>
    <w:qFormat/>
    <w:uiPriority w:val="0"/>
    <w:pPr>
      <w:ind w:left="1400" w:leftChars="1400"/>
    </w:pPr>
  </w:style>
  <w:style w:type="paragraph" w:styleId="19">
    <w:name w:val="E-mail Signature"/>
    <w:basedOn w:val="1"/>
    <w:qFormat/>
    <w:uiPriority w:val="0"/>
  </w:style>
  <w:style w:type="paragraph" w:styleId="20">
    <w:name w:val="List Number"/>
    <w:basedOn w:val="1"/>
    <w:qFormat/>
    <w:uiPriority w:val="0"/>
    <w:pPr>
      <w:tabs>
        <w:tab w:val="left" w:pos="360"/>
      </w:tabs>
      <w:ind w:left="360" w:hanging="360"/>
    </w:pPr>
  </w:style>
  <w:style w:type="paragraph" w:styleId="21">
    <w:name w:val="Normal Indent"/>
    <w:basedOn w:val="1"/>
    <w:qFormat/>
    <w:uiPriority w:val="0"/>
    <w:pPr>
      <w:ind w:firstLine="420" w:firstLineChars="200"/>
    </w:pPr>
  </w:style>
  <w:style w:type="paragraph" w:styleId="22">
    <w:name w:val="caption"/>
    <w:basedOn w:val="1"/>
    <w:next w:val="1"/>
    <w:qFormat/>
    <w:uiPriority w:val="0"/>
    <w:rPr>
      <w:rFonts w:ascii="Arial" w:hAnsi="Arial" w:eastAsia="黑体"/>
      <w:sz w:val="20"/>
    </w:rPr>
  </w:style>
  <w:style w:type="paragraph" w:styleId="23">
    <w:name w:val="index 5"/>
    <w:basedOn w:val="1"/>
    <w:next w:val="1"/>
    <w:qFormat/>
    <w:uiPriority w:val="0"/>
    <w:pPr>
      <w:ind w:left="800" w:leftChars="800"/>
    </w:pPr>
  </w:style>
  <w:style w:type="paragraph" w:styleId="24">
    <w:name w:val="List Bullet"/>
    <w:basedOn w:val="1"/>
    <w:qFormat/>
    <w:uiPriority w:val="0"/>
    <w:pPr>
      <w:tabs>
        <w:tab w:val="left" w:pos="360"/>
      </w:tabs>
      <w:ind w:left="360" w:hanging="360"/>
    </w:pPr>
  </w:style>
  <w:style w:type="paragraph" w:styleId="25">
    <w:name w:val="envelope address"/>
    <w:basedOn w:val="1"/>
    <w:qFormat/>
    <w:uiPriority w:val="0"/>
    <w:pPr>
      <w:snapToGrid w:val="0"/>
      <w:ind w:left="100" w:leftChars="1400"/>
    </w:pPr>
    <w:rPr>
      <w:rFonts w:ascii="Arial" w:hAnsi="Arial"/>
      <w:sz w:val="24"/>
    </w:rPr>
  </w:style>
  <w:style w:type="paragraph" w:styleId="26">
    <w:name w:val="Document Map"/>
    <w:basedOn w:val="1"/>
    <w:qFormat/>
    <w:uiPriority w:val="0"/>
    <w:pPr>
      <w:shd w:val="clear" w:color="auto" w:fill="000080"/>
    </w:pPr>
  </w:style>
  <w:style w:type="paragraph" w:styleId="27">
    <w:name w:val="toa heading"/>
    <w:basedOn w:val="1"/>
    <w:next w:val="1"/>
    <w:qFormat/>
    <w:uiPriority w:val="0"/>
    <w:pPr>
      <w:spacing w:before="120"/>
    </w:pPr>
    <w:rPr>
      <w:rFonts w:ascii="Arial" w:hAnsi="Arial"/>
      <w:sz w:val="24"/>
    </w:rPr>
  </w:style>
  <w:style w:type="paragraph" w:styleId="28">
    <w:name w:val="annotation text"/>
    <w:basedOn w:val="1"/>
    <w:qFormat/>
    <w:uiPriority w:val="0"/>
    <w:pPr>
      <w:jc w:val="left"/>
    </w:pPr>
  </w:style>
  <w:style w:type="paragraph" w:styleId="29">
    <w:name w:val="index 6"/>
    <w:basedOn w:val="1"/>
    <w:next w:val="1"/>
    <w:qFormat/>
    <w:uiPriority w:val="0"/>
    <w:pPr>
      <w:ind w:left="1000" w:leftChars="1000"/>
    </w:pPr>
  </w:style>
  <w:style w:type="paragraph" w:styleId="30">
    <w:name w:val="Salutation"/>
    <w:basedOn w:val="1"/>
    <w:next w:val="1"/>
    <w:qFormat/>
    <w:uiPriority w:val="0"/>
  </w:style>
  <w:style w:type="paragraph" w:styleId="31">
    <w:name w:val="Body Text 3"/>
    <w:basedOn w:val="1"/>
    <w:qFormat/>
    <w:uiPriority w:val="0"/>
    <w:pPr>
      <w:spacing w:after="120"/>
    </w:pPr>
    <w:rPr>
      <w:sz w:val="16"/>
    </w:rPr>
  </w:style>
  <w:style w:type="paragraph" w:styleId="32">
    <w:name w:val="Closing"/>
    <w:basedOn w:val="1"/>
    <w:qFormat/>
    <w:uiPriority w:val="0"/>
    <w:pPr>
      <w:ind w:left="100" w:leftChars="2100"/>
    </w:pPr>
  </w:style>
  <w:style w:type="paragraph" w:styleId="33">
    <w:name w:val="List Bullet 3"/>
    <w:basedOn w:val="1"/>
    <w:qFormat/>
    <w:uiPriority w:val="0"/>
    <w:pPr>
      <w:tabs>
        <w:tab w:val="left" w:pos="1200"/>
      </w:tabs>
      <w:ind w:left="1200" w:hanging="360"/>
    </w:pPr>
  </w:style>
  <w:style w:type="paragraph" w:styleId="34">
    <w:name w:val="Body Text"/>
    <w:basedOn w:val="1"/>
    <w:qFormat/>
    <w:uiPriority w:val="0"/>
    <w:pPr>
      <w:spacing w:after="120"/>
    </w:pPr>
  </w:style>
  <w:style w:type="paragraph" w:styleId="35">
    <w:name w:val="Body Text Indent"/>
    <w:basedOn w:val="1"/>
    <w:qFormat/>
    <w:uiPriority w:val="0"/>
    <w:pPr>
      <w:spacing w:after="120"/>
      <w:ind w:left="420" w:leftChars="200"/>
    </w:pPr>
  </w:style>
  <w:style w:type="paragraph" w:styleId="36">
    <w:name w:val="List Number 3"/>
    <w:basedOn w:val="1"/>
    <w:qFormat/>
    <w:uiPriority w:val="0"/>
    <w:pPr>
      <w:tabs>
        <w:tab w:val="left" w:pos="1200"/>
      </w:tabs>
      <w:ind w:left="1200" w:hanging="360"/>
    </w:pPr>
  </w:style>
  <w:style w:type="paragraph" w:styleId="37">
    <w:name w:val="List 2"/>
    <w:basedOn w:val="1"/>
    <w:qFormat/>
    <w:uiPriority w:val="0"/>
    <w:pPr>
      <w:ind w:left="100" w:leftChars="200" w:hanging="200" w:hangingChars="200"/>
    </w:pPr>
  </w:style>
  <w:style w:type="paragraph" w:styleId="38">
    <w:name w:val="List Continue"/>
    <w:basedOn w:val="1"/>
    <w:qFormat/>
    <w:uiPriority w:val="0"/>
    <w:pPr>
      <w:spacing w:after="120"/>
      <w:ind w:left="420" w:leftChars="200"/>
    </w:pPr>
  </w:style>
  <w:style w:type="paragraph" w:styleId="39">
    <w:name w:val="Block Text"/>
    <w:basedOn w:val="1"/>
    <w:qFormat/>
    <w:uiPriority w:val="0"/>
    <w:pPr>
      <w:spacing w:after="120"/>
      <w:ind w:left="1440" w:leftChars="700" w:right="700" w:rightChars="700"/>
    </w:pPr>
  </w:style>
  <w:style w:type="paragraph" w:styleId="40">
    <w:name w:val="List Bullet 2"/>
    <w:basedOn w:val="1"/>
    <w:qFormat/>
    <w:uiPriority w:val="0"/>
    <w:pPr>
      <w:tabs>
        <w:tab w:val="left" w:pos="780"/>
      </w:tabs>
      <w:ind w:left="780" w:hanging="360"/>
    </w:pPr>
  </w:style>
  <w:style w:type="paragraph" w:styleId="41">
    <w:name w:val="HTML Address"/>
    <w:basedOn w:val="1"/>
    <w:qFormat/>
    <w:uiPriority w:val="0"/>
    <w:rPr>
      <w:i/>
    </w:rPr>
  </w:style>
  <w:style w:type="paragraph" w:styleId="42">
    <w:name w:val="index 4"/>
    <w:basedOn w:val="1"/>
    <w:next w:val="1"/>
    <w:qFormat/>
    <w:uiPriority w:val="0"/>
    <w:pPr>
      <w:ind w:left="600" w:leftChars="600"/>
    </w:pPr>
  </w:style>
  <w:style w:type="paragraph" w:styleId="43">
    <w:name w:val="toc 5"/>
    <w:basedOn w:val="1"/>
    <w:next w:val="1"/>
    <w:qFormat/>
    <w:uiPriority w:val="0"/>
    <w:pPr>
      <w:ind w:left="1680" w:leftChars="800"/>
    </w:pPr>
  </w:style>
  <w:style w:type="paragraph" w:styleId="44">
    <w:name w:val="toc 3"/>
    <w:basedOn w:val="1"/>
    <w:next w:val="1"/>
    <w:qFormat/>
    <w:uiPriority w:val="0"/>
    <w:pPr>
      <w:ind w:left="840" w:leftChars="400"/>
    </w:pPr>
  </w:style>
  <w:style w:type="paragraph" w:styleId="45">
    <w:name w:val="Plain Text"/>
    <w:basedOn w:val="1"/>
    <w:qFormat/>
    <w:uiPriority w:val="0"/>
    <w:rPr>
      <w:rFonts w:ascii="宋体" w:hAnsi="Courier New"/>
    </w:rPr>
  </w:style>
  <w:style w:type="paragraph" w:styleId="46">
    <w:name w:val="List Bullet 5"/>
    <w:basedOn w:val="1"/>
    <w:qFormat/>
    <w:uiPriority w:val="0"/>
    <w:pPr>
      <w:tabs>
        <w:tab w:val="left" w:pos="2040"/>
      </w:tabs>
      <w:ind w:left="2040" w:hanging="360"/>
    </w:pPr>
  </w:style>
  <w:style w:type="paragraph" w:styleId="47">
    <w:name w:val="List Number 4"/>
    <w:basedOn w:val="1"/>
    <w:qFormat/>
    <w:uiPriority w:val="0"/>
    <w:pPr>
      <w:tabs>
        <w:tab w:val="left" w:pos="1620"/>
      </w:tabs>
      <w:ind w:left="1620" w:hanging="360"/>
    </w:pPr>
  </w:style>
  <w:style w:type="paragraph" w:styleId="48">
    <w:name w:val="toc 8"/>
    <w:basedOn w:val="1"/>
    <w:next w:val="1"/>
    <w:qFormat/>
    <w:uiPriority w:val="0"/>
    <w:pPr>
      <w:ind w:left="2940" w:leftChars="1400"/>
    </w:pPr>
  </w:style>
  <w:style w:type="paragraph" w:styleId="49">
    <w:name w:val="index 3"/>
    <w:basedOn w:val="1"/>
    <w:next w:val="1"/>
    <w:qFormat/>
    <w:uiPriority w:val="0"/>
    <w:pPr>
      <w:ind w:left="400" w:leftChars="400"/>
    </w:pPr>
  </w:style>
  <w:style w:type="paragraph" w:styleId="50">
    <w:name w:val="Date"/>
    <w:basedOn w:val="1"/>
    <w:next w:val="1"/>
    <w:qFormat/>
    <w:uiPriority w:val="0"/>
    <w:pPr>
      <w:ind w:left="100" w:leftChars="2500"/>
    </w:pPr>
  </w:style>
  <w:style w:type="paragraph" w:styleId="51">
    <w:name w:val="Body Text Indent 2"/>
    <w:basedOn w:val="1"/>
    <w:qFormat/>
    <w:uiPriority w:val="0"/>
    <w:pPr>
      <w:spacing w:after="120" w:line="480" w:lineRule="auto"/>
      <w:ind w:left="420" w:leftChars="200"/>
    </w:pPr>
  </w:style>
  <w:style w:type="paragraph" w:styleId="52">
    <w:name w:val="endnote text"/>
    <w:basedOn w:val="1"/>
    <w:qFormat/>
    <w:uiPriority w:val="0"/>
    <w:pPr>
      <w:snapToGrid w:val="0"/>
      <w:jc w:val="left"/>
    </w:pPr>
  </w:style>
  <w:style w:type="paragraph" w:styleId="53">
    <w:name w:val="List Continue 5"/>
    <w:basedOn w:val="1"/>
    <w:qFormat/>
    <w:uiPriority w:val="0"/>
    <w:pPr>
      <w:spacing w:after="120"/>
      <w:ind w:left="2100" w:leftChars="1000"/>
    </w:pPr>
  </w:style>
  <w:style w:type="paragraph" w:styleId="54">
    <w:name w:val="Balloon Text"/>
    <w:basedOn w:val="1"/>
    <w:qFormat/>
    <w:uiPriority w:val="0"/>
    <w:rPr>
      <w:sz w:val="18"/>
    </w:rPr>
  </w:style>
  <w:style w:type="paragraph" w:styleId="55">
    <w:name w:val="footer"/>
    <w:basedOn w:val="1"/>
    <w:qFormat/>
    <w:uiPriority w:val="0"/>
    <w:pPr>
      <w:tabs>
        <w:tab w:val="center" w:pos="4153"/>
        <w:tab w:val="right" w:pos="8306"/>
      </w:tabs>
      <w:snapToGrid w:val="0"/>
      <w:jc w:val="left"/>
    </w:pPr>
    <w:rPr>
      <w:sz w:val="18"/>
    </w:rPr>
  </w:style>
  <w:style w:type="paragraph" w:styleId="56">
    <w:name w:val="envelope return"/>
    <w:basedOn w:val="1"/>
    <w:qFormat/>
    <w:uiPriority w:val="0"/>
    <w:pPr>
      <w:snapToGrid w:val="0"/>
    </w:pPr>
    <w:rPr>
      <w:rFonts w:ascii="Arial" w:hAnsi="Arial"/>
    </w:rPr>
  </w:style>
  <w:style w:type="paragraph" w:styleId="57">
    <w:name w:val="header"/>
    <w:basedOn w:val="1"/>
    <w:link w:val="96"/>
    <w:qFormat/>
    <w:uiPriority w:val="0"/>
    <w:pPr>
      <w:pBdr>
        <w:bottom w:val="single" w:color="auto" w:sz="6" w:space="1"/>
      </w:pBdr>
      <w:tabs>
        <w:tab w:val="center" w:pos="4153"/>
        <w:tab w:val="right" w:pos="8306"/>
      </w:tabs>
      <w:snapToGrid w:val="0"/>
      <w:jc w:val="center"/>
    </w:pPr>
    <w:rPr>
      <w:rFonts w:ascii="Calibri" w:hAnsi="Calibri"/>
      <w:sz w:val="18"/>
    </w:rPr>
  </w:style>
  <w:style w:type="paragraph" w:styleId="58">
    <w:name w:val="Signature"/>
    <w:basedOn w:val="1"/>
    <w:qFormat/>
    <w:uiPriority w:val="0"/>
    <w:pPr>
      <w:ind w:left="100" w:leftChars="2100"/>
    </w:pPr>
  </w:style>
  <w:style w:type="paragraph" w:styleId="59">
    <w:name w:val="toc 1"/>
    <w:basedOn w:val="1"/>
    <w:next w:val="1"/>
    <w:qFormat/>
    <w:uiPriority w:val="0"/>
  </w:style>
  <w:style w:type="paragraph" w:styleId="60">
    <w:name w:val="List Continue 4"/>
    <w:basedOn w:val="1"/>
    <w:qFormat/>
    <w:uiPriority w:val="0"/>
    <w:pPr>
      <w:spacing w:after="120"/>
      <w:ind w:left="1680" w:leftChars="800"/>
    </w:pPr>
  </w:style>
  <w:style w:type="paragraph" w:styleId="61">
    <w:name w:val="toc 4"/>
    <w:basedOn w:val="1"/>
    <w:next w:val="1"/>
    <w:qFormat/>
    <w:uiPriority w:val="0"/>
    <w:pPr>
      <w:ind w:left="1260" w:leftChars="600"/>
    </w:pPr>
  </w:style>
  <w:style w:type="paragraph" w:styleId="62">
    <w:name w:val="index heading"/>
    <w:basedOn w:val="1"/>
    <w:next w:val="63"/>
    <w:qFormat/>
    <w:uiPriority w:val="0"/>
    <w:rPr>
      <w:rFonts w:ascii="Arial" w:hAnsi="Arial"/>
      <w:b/>
    </w:rPr>
  </w:style>
  <w:style w:type="paragraph" w:styleId="63">
    <w:name w:val="index 1"/>
    <w:basedOn w:val="1"/>
    <w:next w:val="1"/>
    <w:qFormat/>
    <w:uiPriority w:val="0"/>
  </w:style>
  <w:style w:type="paragraph" w:styleId="64">
    <w:name w:val="Subtitle"/>
    <w:basedOn w:val="1"/>
    <w:qFormat/>
    <w:uiPriority w:val="0"/>
    <w:pPr>
      <w:spacing w:before="240" w:after="60" w:line="312" w:lineRule="auto"/>
      <w:jc w:val="center"/>
      <w:outlineLvl w:val="1"/>
    </w:pPr>
    <w:rPr>
      <w:rFonts w:ascii="Arial" w:hAnsi="Arial"/>
      <w:b/>
      <w:kern w:val="28"/>
      <w:sz w:val="32"/>
    </w:rPr>
  </w:style>
  <w:style w:type="paragraph" w:styleId="65">
    <w:name w:val="List Number 5"/>
    <w:basedOn w:val="1"/>
    <w:qFormat/>
    <w:uiPriority w:val="0"/>
    <w:pPr>
      <w:tabs>
        <w:tab w:val="left" w:pos="2040"/>
      </w:tabs>
      <w:ind w:left="2040" w:hanging="360"/>
    </w:pPr>
  </w:style>
  <w:style w:type="paragraph" w:styleId="66">
    <w:name w:val="List"/>
    <w:basedOn w:val="1"/>
    <w:qFormat/>
    <w:uiPriority w:val="0"/>
    <w:pPr>
      <w:ind w:left="200" w:hanging="200" w:hangingChars="200"/>
    </w:pPr>
  </w:style>
  <w:style w:type="paragraph" w:styleId="67">
    <w:name w:val="footnote text"/>
    <w:basedOn w:val="1"/>
    <w:qFormat/>
    <w:uiPriority w:val="0"/>
    <w:pPr>
      <w:snapToGrid w:val="0"/>
      <w:jc w:val="left"/>
    </w:pPr>
    <w:rPr>
      <w:sz w:val="18"/>
    </w:rPr>
  </w:style>
  <w:style w:type="paragraph" w:styleId="68">
    <w:name w:val="toc 6"/>
    <w:basedOn w:val="1"/>
    <w:next w:val="1"/>
    <w:qFormat/>
    <w:uiPriority w:val="0"/>
    <w:pPr>
      <w:ind w:left="2100" w:leftChars="1000"/>
    </w:pPr>
  </w:style>
  <w:style w:type="paragraph" w:styleId="69">
    <w:name w:val="List 5"/>
    <w:basedOn w:val="1"/>
    <w:qFormat/>
    <w:uiPriority w:val="0"/>
    <w:pPr>
      <w:ind w:left="100" w:leftChars="800" w:hanging="200" w:hangingChars="200"/>
    </w:pPr>
  </w:style>
  <w:style w:type="paragraph" w:styleId="70">
    <w:name w:val="Body Text Indent 3"/>
    <w:basedOn w:val="1"/>
    <w:qFormat/>
    <w:uiPriority w:val="0"/>
    <w:pPr>
      <w:spacing w:line="300" w:lineRule="auto"/>
      <w:ind w:firstLine="480" w:firstLineChars="200"/>
    </w:pPr>
    <w:rPr>
      <w:sz w:val="24"/>
    </w:rPr>
  </w:style>
  <w:style w:type="paragraph" w:styleId="71">
    <w:name w:val="index 7"/>
    <w:basedOn w:val="1"/>
    <w:next w:val="1"/>
    <w:qFormat/>
    <w:uiPriority w:val="0"/>
    <w:pPr>
      <w:ind w:left="1200" w:leftChars="1200"/>
    </w:pPr>
  </w:style>
  <w:style w:type="paragraph" w:styleId="72">
    <w:name w:val="index 9"/>
    <w:basedOn w:val="1"/>
    <w:next w:val="1"/>
    <w:qFormat/>
    <w:uiPriority w:val="0"/>
    <w:pPr>
      <w:ind w:left="1600" w:leftChars="1600"/>
    </w:pPr>
  </w:style>
  <w:style w:type="paragraph" w:styleId="73">
    <w:name w:val="table of figures"/>
    <w:basedOn w:val="1"/>
    <w:next w:val="1"/>
    <w:qFormat/>
    <w:uiPriority w:val="0"/>
    <w:pPr>
      <w:ind w:left="200" w:leftChars="200" w:hanging="200" w:hangingChars="200"/>
    </w:pPr>
  </w:style>
  <w:style w:type="paragraph" w:styleId="74">
    <w:name w:val="toc 2"/>
    <w:basedOn w:val="1"/>
    <w:next w:val="1"/>
    <w:qFormat/>
    <w:uiPriority w:val="0"/>
    <w:pPr>
      <w:ind w:left="420" w:leftChars="200"/>
    </w:pPr>
  </w:style>
  <w:style w:type="paragraph" w:styleId="75">
    <w:name w:val="toc 9"/>
    <w:basedOn w:val="1"/>
    <w:next w:val="1"/>
    <w:qFormat/>
    <w:uiPriority w:val="0"/>
    <w:pPr>
      <w:ind w:left="3360" w:leftChars="1600"/>
    </w:pPr>
  </w:style>
  <w:style w:type="paragraph" w:styleId="76">
    <w:name w:val="Body Text 2"/>
    <w:basedOn w:val="1"/>
    <w:qFormat/>
    <w:uiPriority w:val="0"/>
    <w:pPr>
      <w:spacing w:after="120" w:line="480" w:lineRule="auto"/>
    </w:pPr>
  </w:style>
  <w:style w:type="paragraph" w:styleId="77">
    <w:name w:val="List 4"/>
    <w:basedOn w:val="1"/>
    <w:qFormat/>
    <w:uiPriority w:val="0"/>
    <w:pPr>
      <w:ind w:left="100" w:leftChars="600" w:hanging="200" w:hangingChars="200"/>
    </w:pPr>
  </w:style>
  <w:style w:type="paragraph" w:styleId="78">
    <w:name w:val="List Continue 2"/>
    <w:basedOn w:val="1"/>
    <w:qFormat/>
    <w:uiPriority w:val="0"/>
    <w:pPr>
      <w:spacing w:after="120"/>
      <w:ind w:left="840" w:leftChars="400"/>
    </w:pPr>
  </w:style>
  <w:style w:type="paragraph" w:styleId="79">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80">
    <w:name w:val="HTML Preformatted"/>
    <w:basedOn w:val="1"/>
    <w:link w:val="97"/>
    <w:qFormat/>
    <w:uiPriority w:val="99"/>
    <w:rPr>
      <w:rFonts w:ascii="Courier New" w:hAnsi="Courier New"/>
      <w:sz w:val="20"/>
    </w:rPr>
  </w:style>
  <w:style w:type="paragraph" w:styleId="81">
    <w:name w:val="Normal (Web)"/>
    <w:basedOn w:val="1"/>
    <w:qFormat/>
    <w:uiPriority w:val="99"/>
    <w:pPr>
      <w:spacing w:before="100" w:beforeAutospacing="1" w:after="100" w:afterAutospacing="1"/>
      <w:jc w:val="left"/>
    </w:pPr>
    <w:rPr>
      <w:kern w:val="0"/>
      <w:sz w:val="24"/>
    </w:rPr>
  </w:style>
  <w:style w:type="paragraph" w:styleId="82">
    <w:name w:val="List Continue 3"/>
    <w:basedOn w:val="1"/>
    <w:qFormat/>
    <w:uiPriority w:val="0"/>
    <w:pPr>
      <w:spacing w:after="120"/>
      <w:ind w:left="1260" w:leftChars="600"/>
    </w:pPr>
  </w:style>
  <w:style w:type="paragraph" w:styleId="83">
    <w:name w:val="index 2"/>
    <w:basedOn w:val="1"/>
    <w:next w:val="1"/>
    <w:qFormat/>
    <w:uiPriority w:val="0"/>
    <w:pPr>
      <w:ind w:left="200" w:leftChars="200"/>
    </w:pPr>
  </w:style>
  <w:style w:type="paragraph" w:styleId="84">
    <w:name w:val="Title"/>
    <w:basedOn w:val="1"/>
    <w:qFormat/>
    <w:uiPriority w:val="0"/>
    <w:pPr>
      <w:spacing w:before="240" w:after="60"/>
      <w:jc w:val="center"/>
      <w:outlineLvl w:val="0"/>
    </w:pPr>
    <w:rPr>
      <w:rFonts w:ascii="Arial" w:hAnsi="Arial"/>
      <w:b/>
      <w:sz w:val="32"/>
    </w:rPr>
  </w:style>
  <w:style w:type="paragraph" w:styleId="85">
    <w:name w:val="annotation subject"/>
    <w:basedOn w:val="28"/>
    <w:next w:val="28"/>
    <w:qFormat/>
    <w:uiPriority w:val="0"/>
    <w:rPr>
      <w:b/>
    </w:rPr>
  </w:style>
  <w:style w:type="paragraph" w:styleId="86">
    <w:name w:val="Body Text First Indent"/>
    <w:basedOn w:val="34"/>
    <w:qFormat/>
    <w:uiPriority w:val="0"/>
    <w:pPr>
      <w:ind w:firstLine="420" w:firstLineChars="100"/>
    </w:pPr>
  </w:style>
  <w:style w:type="paragraph" w:styleId="87">
    <w:name w:val="Body Text First Indent 2"/>
    <w:basedOn w:val="35"/>
    <w:qFormat/>
    <w:uiPriority w:val="0"/>
    <w:pPr>
      <w:ind w:firstLine="420" w:firstLineChars="200"/>
    </w:pPr>
  </w:style>
  <w:style w:type="table" w:styleId="89">
    <w:name w:val="Table Grid"/>
    <w:basedOn w:val="8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qFormat/>
    <w:uiPriority w:val="22"/>
    <w:rPr>
      <w:b/>
    </w:rPr>
  </w:style>
  <w:style w:type="character" w:styleId="92">
    <w:name w:val="page number"/>
    <w:qFormat/>
    <w:uiPriority w:val="0"/>
  </w:style>
  <w:style w:type="character" w:styleId="93">
    <w:name w:val="FollowedHyperlink"/>
    <w:qFormat/>
    <w:uiPriority w:val="0"/>
    <w:rPr>
      <w:color w:val="996600"/>
      <w:u w:val="none"/>
    </w:rPr>
  </w:style>
  <w:style w:type="character" w:styleId="94">
    <w:name w:val="Emphasis"/>
    <w:qFormat/>
    <w:uiPriority w:val="0"/>
    <w:rPr>
      <w:color w:val="CC0000"/>
    </w:rPr>
  </w:style>
  <w:style w:type="character" w:styleId="95">
    <w:name w:val="Hyperlink"/>
    <w:basedOn w:val="90"/>
    <w:qFormat/>
    <w:uiPriority w:val="99"/>
    <w:rPr>
      <w:color w:val="000000"/>
      <w:u w:val="none"/>
    </w:rPr>
  </w:style>
  <w:style w:type="character" w:customStyle="1" w:styleId="96">
    <w:name w:val="页眉 Char"/>
    <w:link w:val="57"/>
    <w:qFormat/>
    <w:uiPriority w:val="0"/>
    <w:rPr>
      <w:rFonts w:ascii="Calibri" w:hAnsi="Calibri" w:eastAsia="宋体"/>
      <w:kern w:val="2"/>
      <w:sz w:val="18"/>
      <w:lang w:val="en-US" w:eastAsia="zh-CN"/>
    </w:rPr>
  </w:style>
  <w:style w:type="character" w:customStyle="1" w:styleId="97">
    <w:name w:val="HTML 预设格式 Char"/>
    <w:link w:val="80"/>
    <w:qFormat/>
    <w:uiPriority w:val="99"/>
    <w:rPr>
      <w:rFonts w:ascii="Courier New" w:hAnsi="Courier New"/>
      <w:kern w:val="2"/>
    </w:rPr>
  </w:style>
  <w:style w:type="paragraph" w:customStyle="1" w:styleId="98">
    <w:name w:val="z-窗体顶端1"/>
    <w:basedOn w:val="1"/>
    <w:next w:val="1"/>
    <w:qFormat/>
    <w:uiPriority w:val="0"/>
    <w:pPr>
      <w:widowControl/>
      <w:pBdr>
        <w:bottom w:val="single" w:color="auto" w:sz="6" w:space="1"/>
      </w:pBdr>
      <w:jc w:val="center"/>
    </w:pPr>
    <w:rPr>
      <w:rFonts w:ascii="Arial" w:hAnsi="Arial"/>
      <w:vanish/>
      <w:kern w:val="0"/>
      <w:sz w:val="16"/>
    </w:rPr>
  </w:style>
  <w:style w:type="paragraph" w:customStyle="1" w:styleId="99">
    <w:name w:val="Char"/>
    <w:basedOn w:val="1"/>
    <w:qFormat/>
    <w:uiPriority w:val="0"/>
    <w:pPr>
      <w:tabs>
        <w:tab w:val="left" w:pos="360"/>
      </w:tabs>
    </w:pPr>
    <w:rPr>
      <w:rFonts w:ascii="Courier New" w:hAnsi="Courier New"/>
    </w:rPr>
  </w:style>
  <w:style w:type="paragraph" w:customStyle="1" w:styleId="100">
    <w:name w:val="列出段落11"/>
    <w:basedOn w:val="1"/>
    <w:qFormat/>
    <w:uiPriority w:val="0"/>
    <w:pPr>
      <w:ind w:firstLine="420" w:firstLineChars="200"/>
    </w:pPr>
    <w:rPr>
      <w:rFonts w:ascii="Calibri" w:hAnsi="Calibri"/>
    </w:rPr>
  </w:style>
  <w:style w:type="paragraph" w:customStyle="1" w:styleId="101">
    <w:name w:val="Default"/>
    <w:qFormat/>
    <w:uiPriority w:val="0"/>
    <w:pPr>
      <w:widowControl w:val="0"/>
      <w:autoSpaceDE w:val="0"/>
      <w:autoSpaceDN w:val="0"/>
      <w:adjustRightInd w:val="0"/>
    </w:pPr>
    <w:rPr>
      <w:rFonts w:ascii="仿宋_GB2312" w:hAnsi="Times New Roman" w:eastAsia="仿宋_GB2312" w:cs="Times New Roman"/>
      <w:color w:val="000000"/>
      <w:sz w:val="24"/>
      <w:lang w:val="en-US" w:eastAsia="zh-CN" w:bidi="ar-SA"/>
    </w:rPr>
  </w:style>
  <w:style w:type="paragraph" w:customStyle="1" w:styleId="102">
    <w:name w:val="页眉1"/>
    <w:basedOn w:val="1"/>
    <w:qFormat/>
    <w:uiPriority w:val="0"/>
    <w:pPr>
      <w:pBdr>
        <w:bottom w:val="single" w:color="auto" w:sz="6" w:space="1"/>
      </w:pBdr>
      <w:tabs>
        <w:tab w:val="center" w:pos="4153"/>
        <w:tab w:val="right" w:pos="8306"/>
      </w:tabs>
      <w:snapToGrid w:val="0"/>
      <w:jc w:val="center"/>
    </w:pPr>
    <w:rPr>
      <w:rFonts w:ascii="Calibri" w:hAnsi="Calibri"/>
      <w:sz w:val="18"/>
    </w:rPr>
  </w:style>
  <w:style w:type="paragraph" w:customStyle="1" w:styleId="103">
    <w:name w:val="无间隔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页脚1"/>
    <w:basedOn w:val="1"/>
    <w:qFormat/>
    <w:uiPriority w:val="0"/>
    <w:pPr>
      <w:tabs>
        <w:tab w:val="center" w:pos="4153"/>
        <w:tab w:val="right" w:pos="8306"/>
      </w:tabs>
      <w:snapToGrid w:val="0"/>
      <w:jc w:val="left"/>
    </w:pPr>
    <w:rPr>
      <w:sz w:val="18"/>
    </w:rPr>
  </w:style>
  <w:style w:type="paragraph" w:customStyle="1" w:styleId="105">
    <w:name w:val="列出段落1"/>
    <w:basedOn w:val="1"/>
    <w:qFormat/>
    <w:uiPriority w:val="0"/>
    <w:pPr>
      <w:ind w:firstLine="420" w:firstLineChars="200"/>
    </w:pPr>
  </w:style>
  <w:style w:type="paragraph" w:customStyle="1" w:styleId="106">
    <w:name w:val="p0"/>
    <w:basedOn w:val="1"/>
    <w:qFormat/>
    <w:uiPriority w:val="0"/>
    <w:pPr>
      <w:widowControl/>
    </w:pPr>
    <w:rPr>
      <w:kern w:val="0"/>
    </w:rPr>
  </w:style>
  <w:style w:type="paragraph" w:customStyle="1" w:styleId="107">
    <w:name w:val="列出段落12"/>
    <w:basedOn w:val="1"/>
    <w:qFormat/>
    <w:uiPriority w:val="0"/>
    <w:pPr>
      <w:widowControl/>
      <w:ind w:firstLine="420" w:firstLineChars="200"/>
      <w:jc w:val="left"/>
    </w:pPr>
    <w:rPr>
      <w:rFonts w:ascii="宋体" w:hAnsi="宋体"/>
      <w:kern w:val="0"/>
      <w:sz w:val="24"/>
    </w:rPr>
  </w:style>
  <w:style w:type="paragraph" w:customStyle="1" w:styleId="108">
    <w:name w:val="z-窗体底端1"/>
    <w:basedOn w:val="1"/>
    <w:next w:val="1"/>
    <w:qFormat/>
    <w:uiPriority w:val="0"/>
    <w:pPr>
      <w:widowControl/>
      <w:pBdr>
        <w:top w:val="single" w:color="auto" w:sz="6" w:space="1"/>
      </w:pBdr>
      <w:jc w:val="center"/>
    </w:pPr>
    <w:rPr>
      <w:rFonts w:ascii="Arial" w:hAnsi="Arial"/>
      <w:vanish/>
      <w:kern w:val="0"/>
      <w:sz w:val="16"/>
    </w:rPr>
  </w:style>
  <w:style w:type="character" w:customStyle="1" w:styleId="109">
    <w:name w:val="font01"/>
    <w:qFormat/>
    <w:uiPriority w:val="0"/>
    <w:rPr>
      <w:rFonts w:hint="default" w:ascii="Arial" w:hAnsi="Arial"/>
      <w:b/>
      <w:color w:val="000000"/>
      <w:sz w:val="16"/>
      <w:u w:val="none"/>
    </w:rPr>
  </w:style>
  <w:style w:type="character" w:customStyle="1" w:styleId="110">
    <w:name w:val="txtcontent11"/>
    <w:qFormat/>
    <w:uiPriority w:val="0"/>
    <w:rPr>
      <w:rFonts w:hint="default" w:ascii="ˎ̥" w:hAnsi="ˎ̥"/>
      <w:color w:val="000000"/>
      <w:sz w:val="21"/>
    </w:rPr>
  </w:style>
  <w:style w:type="character" w:customStyle="1" w:styleId="111">
    <w:name w:val="font41"/>
    <w:qFormat/>
    <w:uiPriority w:val="0"/>
    <w:rPr>
      <w:rFonts w:hint="eastAsia" w:ascii="宋体" w:hAnsi="宋体" w:eastAsia="宋体"/>
      <w:b/>
      <w:color w:val="000000"/>
      <w:sz w:val="16"/>
      <w:u w:val="none"/>
    </w:rPr>
  </w:style>
  <w:style w:type="character" w:customStyle="1" w:styleId="112">
    <w:name w:val="font81"/>
    <w:qFormat/>
    <w:uiPriority w:val="0"/>
    <w:rPr>
      <w:rFonts w:hint="eastAsia" w:ascii="宋体" w:hAnsi="宋体" w:eastAsia="宋体"/>
      <w:b/>
      <w:color w:val="000000"/>
      <w:sz w:val="16"/>
      <w:u w:val="none"/>
    </w:rPr>
  </w:style>
  <w:style w:type="character" w:customStyle="1" w:styleId="113">
    <w:name w:val="font61"/>
    <w:qFormat/>
    <w:uiPriority w:val="0"/>
    <w:rPr>
      <w:rFonts w:hint="eastAsia" w:ascii="宋体" w:hAnsi="宋体" w:eastAsia="宋体"/>
      <w:b/>
      <w:color w:val="000000"/>
      <w:sz w:val="16"/>
      <w:u w:val="none"/>
    </w:rPr>
  </w:style>
  <w:style w:type="character" w:customStyle="1" w:styleId="114">
    <w:name w:val="未处理的提及1"/>
    <w:qFormat/>
    <w:uiPriority w:val="0"/>
    <w:rPr>
      <w:color w:val="808080"/>
      <w:shd w:val="clear" w:color="auto" w:fill="E6E6E6"/>
    </w:rPr>
  </w:style>
  <w:style w:type="character" w:customStyle="1" w:styleId="115">
    <w:name w:val="personpopuptrigger"/>
    <w:qFormat/>
    <w:uiPriority w:val="0"/>
  </w:style>
  <w:style w:type="character" w:customStyle="1" w:styleId="116">
    <w:name w:val="不明显强调1"/>
    <w:qFormat/>
    <w:uiPriority w:val="0"/>
    <w:rPr>
      <w:i/>
      <w:color w:val="808080"/>
    </w:rPr>
  </w:style>
  <w:style w:type="character" w:customStyle="1" w:styleId="117">
    <w:name w:val="font71"/>
    <w:qFormat/>
    <w:uiPriority w:val="0"/>
    <w:rPr>
      <w:rFonts w:hint="eastAsia" w:ascii="宋体" w:hAnsi="宋体" w:eastAsia="宋体"/>
      <w:b/>
      <w:color w:val="000000"/>
      <w:sz w:val="16"/>
      <w:u w:val="none"/>
    </w:rPr>
  </w:style>
  <w:style w:type="character" w:customStyle="1" w:styleId="118">
    <w:name w:val="font51"/>
    <w:qFormat/>
    <w:uiPriority w:val="0"/>
    <w:rPr>
      <w:rFonts w:hint="default" w:ascii="Arial" w:hAnsi="Arial"/>
      <w:b/>
      <w:color w:val="000000"/>
      <w:sz w:val="16"/>
      <w:u w:val="none"/>
    </w:rPr>
  </w:style>
  <w:style w:type="character" w:customStyle="1" w:styleId="119">
    <w:name w:val="font11"/>
    <w:qFormat/>
    <w:uiPriority w:val="0"/>
    <w:rPr>
      <w:rFonts w:hint="default" w:ascii="Arial" w:hAnsi="Arial"/>
      <w:b/>
      <w:color w:val="000000"/>
      <w:sz w:val="16"/>
      <w:u w:val="none"/>
    </w:rPr>
  </w:style>
  <w:style w:type="character" w:customStyle="1" w:styleId="120">
    <w:name w:val="underline1"/>
    <w:qFormat/>
    <w:uiPriority w:val="0"/>
    <w:rPr>
      <w:u w:val="single"/>
    </w:rPr>
  </w:style>
  <w:style w:type="character" w:customStyle="1" w:styleId="121">
    <w:name w:val="font31"/>
    <w:qFormat/>
    <w:uiPriority w:val="0"/>
    <w:rPr>
      <w:rFonts w:hint="eastAsia" w:ascii="宋体" w:hAnsi="宋体" w:eastAsia="宋体"/>
      <w:b/>
      <w:color w:val="000000"/>
      <w:sz w:val="16"/>
      <w:u w:val="none"/>
    </w:rPr>
  </w:style>
  <w:style w:type="character" w:customStyle="1" w:styleId="122">
    <w:name w:val="apple-converted-space"/>
    <w:qFormat/>
    <w:uiPriority w:val="0"/>
  </w:style>
  <w:style w:type="character" w:customStyle="1" w:styleId="123">
    <w:name w:val="lbldetailcontent1"/>
    <w:qFormat/>
    <w:uiPriority w:val="0"/>
  </w:style>
  <w:style w:type="character" w:customStyle="1" w:styleId="124">
    <w:name w:val="页码1"/>
    <w:qFormat/>
    <w:uiPriority w:val="0"/>
  </w:style>
  <w:style w:type="character" w:customStyle="1" w:styleId="125">
    <w:name w:val="font21"/>
    <w:qFormat/>
    <w:uiPriority w:val="0"/>
    <w:rPr>
      <w:rFonts w:hint="eastAsia" w:ascii="宋体" w:hAnsi="宋体" w:eastAsia="宋体"/>
      <w:b/>
      <w:color w:val="000000"/>
      <w:sz w:val="16"/>
      <w:u w:val="none"/>
    </w:rPr>
  </w:style>
  <w:style w:type="paragraph" w:customStyle="1" w:styleId="126">
    <w:name w:val="列表段落1"/>
    <w:basedOn w:val="1"/>
    <w:qFormat/>
    <w:uiPriority w:val="99"/>
    <w:pPr>
      <w:ind w:firstLine="420" w:firstLineChars="200"/>
    </w:pPr>
  </w:style>
  <w:style w:type="character" w:customStyle="1" w:styleId="127">
    <w:name w:val="readmail_locationtip"/>
    <w:qFormat/>
    <w:uiPriority w:val="0"/>
  </w:style>
  <w:style w:type="character" w:customStyle="1" w:styleId="128">
    <w:name w:val="未处理的提及2"/>
    <w:qFormat/>
    <w:uiPriority w:val="99"/>
    <w:rPr>
      <w:color w:val="605E5C"/>
      <w:shd w:val="clear" w:color="auto" w:fill="E1DFDD"/>
    </w:rPr>
  </w:style>
  <w:style w:type="paragraph" w:styleId="129">
    <w:name w:val="List Paragraph"/>
    <w:basedOn w:val="1"/>
    <w:qFormat/>
    <w:uiPriority w:val="34"/>
    <w:pPr>
      <w:ind w:firstLine="420" w:firstLineChars="200"/>
    </w:pPr>
  </w:style>
  <w:style w:type="paragraph" w:customStyle="1" w:styleId="130">
    <w:name w:val="detail_p"/>
    <w:basedOn w:val="1"/>
    <w:qFormat/>
    <w:uiPriority w:val="0"/>
    <w:pPr>
      <w:widowControl/>
      <w:spacing w:before="100" w:beforeAutospacing="1" w:after="100" w:afterAutospacing="1"/>
      <w:jc w:val="left"/>
    </w:pPr>
    <w:rPr>
      <w:rFonts w:ascii="宋体" w:hAnsi="宋体" w:cs="宋体"/>
      <w:kern w:val="0"/>
      <w:sz w:val="24"/>
    </w:rPr>
  </w:style>
  <w:style w:type="character" w:customStyle="1" w:styleId="131">
    <w:name w:val="未处理的提及3"/>
    <w:basedOn w:val="90"/>
    <w:qFormat/>
    <w:uiPriority w:val="99"/>
    <w:rPr>
      <w:color w:val="605E5C"/>
      <w:shd w:val="clear" w:color="auto" w:fill="E1DFDD"/>
    </w:rPr>
  </w:style>
  <w:style w:type="character" w:customStyle="1" w:styleId="132">
    <w:name w:val="未处理的提及4"/>
    <w:basedOn w:val="90"/>
    <w:qFormat/>
    <w:uiPriority w:val="99"/>
    <w:rPr>
      <w:color w:val="605E5C"/>
      <w:shd w:val="clear" w:color="auto" w:fill="E1DFDD"/>
    </w:rPr>
  </w:style>
  <w:style w:type="character" w:customStyle="1" w:styleId="133">
    <w:name w:val="15"/>
    <w:basedOn w:val="90"/>
    <w:qFormat/>
    <w:uiPriority w:val="0"/>
    <w:rPr>
      <w:rFonts w:hint="default" w:ascii="Times New Roman" w:hAnsi="Times New Roman" w:cs="Times New Roma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data/weboffice/tmp/webword_2313418303/C:\data\weboffice\tmp\webword_938803065\C:\Users\Administrator\Desktop\&#26089;&#30424;&#24037;&#20316;\&#26032;&#19990;&#32426;&#26399;&#36135;&#30424;&#21069;&#20132;&#26131;&#25552;&#31034;2019.3.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7</Pages>
  <Words>6799</Words>
  <Characters>7301</Characters>
  <Lines>1</Lines>
  <Paragraphs>1</Paragraphs>
  <TotalTime>0</TotalTime>
  <ScaleCrop>false</ScaleCrop>
  <LinksUpToDate>false</LinksUpToDate>
  <CharactersWithSpaces>7338</CharactersWithSpaces>
  <Application>WPS Office WWO_wpscloud_20250305175527-00de7ca4b2</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2024-10-05T08:00:00Z</dcterms:created>
  <dc:creator>AutoBVT</dc:creator>
  <cp:lastModifiedBy>ADMIN</cp:lastModifiedBy>
  <cp:lastPrinted>2024-12-28T00:31:00Z</cp:lastPrinted>
  <dcterms:modified xsi:type="dcterms:W3CDTF">2025-03-13T08:45:30Z</dcterms:modified>
  <dc:title>避险拉动，金牛隐现</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2052-12.9.0.20326</vt:lpwstr>
  </property>
  <property fmtid="{D5CDD505-2E9C-101B-9397-08002B2CF9AE}" pid="3" name="ICV">
    <vt:lpwstr>6DDF8AFEEA6EF248AA2AD2673EB0A1E4_43</vt:lpwstr>
  </property>
  <property fmtid="{D5CDD505-2E9C-101B-9397-08002B2CF9AE}" pid="4" name="KSOTemplateDocerSaveRecord">
    <vt:lpwstr>eyJoZGlkIjoiYmU0YTY1ODg1NmE5Njk1MDc5NDQ5Nzk2MDE1Y2MwZGIiLCJ1c2VySWQiOiI1MjQ0NjMzNDEifQ==</vt:lpwstr>
  </property>
</Properties>
</file>