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F6558" w:rsidRDefault="00653621">
      <w:pPr>
        <w:tabs>
          <w:tab w:val="left" w:pos="3804"/>
        </w:tabs>
        <w:spacing w:beforeLines="100" w:before="312" w:afterLines="100" w:after="312" w:line="480" w:lineRule="auto"/>
        <w:rPr>
          <w:rFonts w:ascii="宋体" w:hAnsi="宋体"/>
          <w:color w:val="FFFFFF"/>
          <w:sz w:val="28"/>
        </w:rPr>
      </w:pPr>
      <w:r>
        <w:rPr>
          <w:rFonts w:ascii="黑体" w:eastAsia="黑体" w:hAnsi="宋体"/>
          <w:noProof/>
          <w:color w:val="FFFFFF"/>
          <w:sz w:val="28"/>
        </w:rPr>
        <mc:AlternateContent>
          <mc:Choice Requires="wps">
            <w:drawing>
              <wp:anchor distT="0" distB="0" distL="114300" distR="114300" simplePos="0" relativeHeight="251660288" behindDoc="0" locked="0" layoutInCell="1" allowOverlap="1">
                <wp:simplePos x="0" y="0"/>
                <wp:positionH relativeFrom="column">
                  <wp:posOffset>4454525</wp:posOffset>
                </wp:positionH>
                <wp:positionV relativeFrom="paragraph">
                  <wp:posOffset>99060</wp:posOffset>
                </wp:positionV>
                <wp:extent cx="2267585" cy="396240"/>
                <wp:effectExtent l="0" t="0" r="0" b="3810"/>
                <wp:wrapNone/>
                <wp:docPr id="11" name="Text Box 2"/>
                <wp:cNvGraphicFramePr/>
                <a:graphic xmlns:a="http://schemas.openxmlformats.org/drawingml/2006/main">
                  <a:graphicData uri="http://schemas.microsoft.com/office/word/2010/wordprocessingShape">
                    <wps:wsp>
                      <wps:cNvSpPr txBox="1"/>
                      <wps:spPr>
                        <a:xfrm>
                          <a:off x="0" y="0"/>
                          <a:ext cx="2267585" cy="396240"/>
                        </a:xfrm>
                        <a:prstGeom prst="rect">
                          <a:avLst/>
                        </a:prstGeom>
                        <a:noFill/>
                        <a:ln w="9525">
                          <a:noFill/>
                        </a:ln>
                        <a:effectLst/>
                      </wps:spPr>
                      <wps:txb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953C5E">
                              <w:rPr>
                                <w:rFonts w:ascii="黑体" w:eastAsia="黑体" w:hAnsi="Arial Black" w:hint="eastAsia"/>
                                <w:noProof/>
                                <w:color w:val="FFFFFF"/>
                                <w:sz w:val="28"/>
                              </w:rPr>
                              <w:t>2021年6月7日星期一</w:t>
                            </w:r>
                            <w:r>
                              <w:rPr>
                                <w:rFonts w:ascii="黑体" w:eastAsia="黑体" w:hAnsi="Arial Black" w:hint="eastAsia"/>
                                <w:color w:val="FFFFFF"/>
                                <w:sz w:val="28"/>
                              </w:rPr>
                              <w:fldChar w:fldCharType="end"/>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0.75pt;margin-top:7.8pt;width:178.55pt;height:31.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" filled="f" stroked="f">
                <v:textbox>
                  <w:txbxContent>
                    <w:p w:rsidR="00CF6558" w:rsidRDefault="00653621">
                      <w:pPr>
                        <w:rPr>
                          <w:rFonts w:ascii="黑体" w:eastAsia="黑体"/>
                          <w:sz w:val="28"/>
                        </w:rPr>
                      </w:pPr>
                      <w:r>
                        <w:rPr>
                          <w:rFonts w:ascii="黑体" w:eastAsia="黑体" w:hAnsi="Arial Black" w:hint="eastAsia"/>
                          <w:color w:val="FFFFFF"/>
                          <w:sz w:val="28"/>
                        </w:rPr>
                        <w:fldChar w:fldCharType="begin"/>
                      </w:r>
                      <w:r>
                        <w:rPr>
                          <w:rFonts w:ascii="黑体" w:eastAsia="黑体" w:hAnsi="Arial Black" w:hint="eastAsia"/>
                          <w:color w:val="FFFFFF"/>
                          <w:sz w:val="28"/>
                        </w:rPr>
                        <w:instrText xml:space="preserve"> TIME \@ "yyyy年M月d日星期W"</w:instrText>
                      </w:r>
                      <w:r>
                        <w:rPr>
                          <w:rFonts w:ascii="黑体" w:eastAsia="黑体" w:hAnsi="Arial Black" w:hint="eastAsia"/>
                          <w:color w:val="FFFFFF"/>
                          <w:sz w:val="28"/>
                        </w:rPr>
                        <w:fldChar w:fldCharType="separate"/>
                      </w:r>
                      <w:r w:rsidR="00953C5E">
                        <w:rPr>
                          <w:rFonts w:ascii="黑体" w:eastAsia="黑体" w:hAnsi="Arial Black" w:hint="eastAsia"/>
                          <w:noProof/>
                          <w:color w:val="FFFFFF"/>
                          <w:sz w:val="28"/>
                        </w:rPr>
                        <w:t>2021年6月7日星期一</w:t>
                      </w:r>
                      <w:r>
                        <w:rPr>
                          <w:rFonts w:ascii="黑体" w:eastAsia="黑体" w:hAnsi="Arial Black" w:hint="eastAsia"/>
                          <w:color w:val="FFFFFF"/>
                          <w:sz w:val="28"/>
                        </w:rPr>
                        <w:fldChar w:fldCharType="end"/>
                      </w:r>
                    </w:p>
                  </w:txbxContent>
                </v:textbox>
              </v:shape>
            </w:pict>
          </mc:Fallback>
        </mc:AlternateContent>
      </w:r>
      <w:r>
        <w:rPr>
          <w:rFonts w:ascii="黑体" w:eastAsia="黑体" w:hAnsi="宋体"/>
          <w:noProof/>
          <w:color w:val="FFFFFF"/>
          <w:sz w:val="28"/>
        </w:rPr>
        <mc:AlternateContent>
          <mc:Choice Requires="wps">
            <w:drawing>
              <wp:anchor distT="0" distB="0" distL="114300" distR="114300" simplePos="0" relativeHeight="251659264" behindDoc="1" locked="0" layoutInCell="1" allowOverlap="1">
                <wp:simplePos x="0" y="0"/>
                <wp:positionH relativeFrom="page">
                  <wp:posOffset>-669925</wp:posOffset>
                </wp:positionH>
                <wp:positionV relativeFrom="page">
                  <wp:posOffset>1179195</wp:posOffset>
                </wp:positionV>
                <wp:extent cx="8343900" cy="504190"/>
                <wp:effectExtent l="0" t="0" r="0" b="0"/>
                <wp:wrapNone/>
                <wp:docPr id="10" name="未知"/>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43900" cy="504190"/>
                        </a:xfrm>
                        <a:custGeom>
                          <a:avLst/>
                          <a:gdLst>
                            <a:gd name="T0" fmla="*/ 0 w 10880"/>
                            <a:gd name="T1" fmla="*/ 0 h 453"/>
                            <a:gd name="T2" fmla="*/ 0 w 10880"/>
                            <a:gd name="T3" fmla="*/ 453 h 453"/>
                            <a:gd name="T4" fmla="*/ 10880 w 10880"/>
                            <a:gd name="T5" fmla="*/ 453 h 453"/>
                            <a:gd name="T6" fmla="*/ 10880 w 10880"/>
                            <a:gd name="T7" fmla="*/ 0 h 453"/>
                            <a:gd name="T8" fmla="*/ 0 w 10880"/>
                            <a:gd name="T9" fmla="*/ 0 h 453"/>
                          </a:gdLst>
                          <a:ahLst/>
                          <a:cxnLst>
                            <a:cxn ang="0">
                              <a:pos x="T0" y="T1"/>
                            </a:cxn>
                            <a:cxn ang="0">
                              <a:pos x="T2" y="T3"/>
                            </a:cxn>
                            <a:cxn ang="0">
                              <a:pos x="T4" y="T5"/>
                            </a:cxn>
                            <a:cxn ang="0">
                              <a:pos x="T6" y="T7"/>
                            </a:cxn>
                            <a:cxn ang="0">
                              <a:pos x="T8" y="T9"/>
                            </a:cxn>
                          </a:cxnLst>
                          <a:rect l="0" t="0" r="r" b="b"/>
                          <a:pathLst>
                            <a:path w="10880" h="453">
                              <a:moveTo>
                                <a:pt x="0" y="0"/>
                              </a:moveTo>
                              <a:lnTo>
                                <a:pt x="0" y="453"/>
                              </a:lnTo>
                              <a:lnTo>
                                <a:pt x="10880" y="453"/>
                              </a:lnTo>
                              <a:lnTo>
                                <a:pt x="10880" y="0"/>
                              </a:lnTo>
                              <a:lnTo>
                                <a:pt x="0" y="0"/>
                              </a:lnTo>
                              <a:close/>
                            </a:path>
                          </a:pathLst>
                        </a:custGeom>
                        <a:solidFill>
                          <a:srgbClr val="CC0000">
                            <a:alpha val="74117"/>
                          </a:srgbClr>
                        </a:solidFill>
                        <a:ln>
                          <a:noFill/>
                        </a:ln>
                        <a:effectLst/>
                      </wps:spPr>
                      <wps:bodyPr rot="0" vert="horz" wrap="square" lIns="91440" tIns="45720" rIns="91440" bIns="45720" anchor="t" anchorCtr="0" upright="1">
                        <a:noAutofit/>
                      </wps:bodyPr>
                    </wps:wsp>
                  </a:graphicData>
                </a:graphic>
              </wp:anchor>
            </w:drawing>
          </mc:Choice>
          <mc:Fallback xmlns:wpsCustomData="http://www.wps.cn/officeDocument/2013/wpsCustomData">
            <w:pict>
              <v:shape id="未知" o:spid="_x0000_s1026" o:spt="100" style="position:absolute;left:0pt;margin-left:-52.75pt;margin-top:92.85pt;height:39.7pt;width:657pt;mso-position-horizontal-relative:page;mso-position-vertical-relative:page;z-index:-251657216;mso-width-relative:page;mso-height-relative:page;" fillcolor="#CC0000" filled="t" stroked="f" coordsize="10880,453" o:gfxdata="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&#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" path="m0,0l0,453,10880,453,10880,0,0,0xe">
                <v:path o:connectlocs="0,0;0,504190;8343900,504190;8343900,0;0,0" o:connectangles="0,0,0,0,0"/>
                <v:fill on="t" opacity="48573f" focussize="0,0"/>
                <v:stroke on="f"/>
                <v:imagedata o:title=""/>
                <o:lock v:ext="edit" aspectratio="f"/>
              </v:shape>
            </w:pict>
          </mc:Fallback>
        </mc:AlternateContent>
      </w:r>
      <w:r>
        <w:rPr>
          <w:rFonts w:ascii="黑体" w:eastAsia="黑体" w:hAnsi="宋体" w:hint="eastAsia"/>
          <w:color w:val="FFFFFF"/>
          <w:sz w:val="28"/>
        </w:rPr>
        <w:t xml:space="preserve">研究院：0571-85165192，85058093 </w:t>
      </w:r>
    </w:p>
    <w:p w:rsidR="00CF6558" w:rsidRDefault="00653621">
      <w:pPr>
        <w:jc w:val="center"/>
        <w:rPr>
          <w:rFonts w:ascii="宋体" w:hAnsi="宋体"/>
          <w:b/>
          <w:sz w:val="30"/>
        </w:rPr>
      </w:pPr>
      <w:r>
        <w:rPr>
          <w:rFonts w:ascii="宋体" w:hAnsi="宋体" w:hint="eastAsia"/>
          <w:b/>
          <w:sz w:val="30"/>
        </w:rPr>
        <w:t>新世纪期货盘前交易提示（</w:t>
      </w:r>
      <w:r>
        <w:rPr>
          <w:rFonts w:ascii="宋体" w:hAnsi="宋体"/>
          <w:b/>
          <w:sz w:val="30"/>
        </w:rPr>
        <w:fldChar w:fldCharType="begin"/>
      </w:r>
      <w:r>
        <w:rPr>
          <w:rFonts w:ascii="宋体" w:hAnsi="宋体"/>
          <w:b/>
          <w:sz w:val="30"/>
        </w:rPr>
        <w:instrText xml:space="preserve"> TIME \@ "yyyy-M-d"</w:instrText>
      </w:r>
      <w:r>
        <w:rPr>
          <w:rFonts w:ascii="宋体" w:hAnsi="宋体"/>
          <w:b/>
          <w:sz w:val="30"/>
        </w:rPr>
        <w:fldChar w:fldCharType="separate"/>
      </w:r>
      <w:r w:rsidR="00953C5E">
        <w:rPr>
          <w:rFonts w:ascii="宋体" w:hAnsi="宋体"/>
          <w:b/>
          <w:noProof/>
          <w:sz w:val="30"/>
        </w:rPr>
        <w:t>2021-6-7</w:t>
      </w:r>
      <w:r>
        <w:rPr>
          <w:rFonts w:ascii="宋体" w:hAnsi="宋体"/>
          <w:b/>
          <w:sz w:val="30"/>
        </w:rPr>
        <w:fldChar w:fldCharType="end"/>
      </w:r>
      <w:r>
        <w:rPr>
          <w:rFonts w:ascii="宋体" w:hAnsi="宋体" w:hint="eastAsia"/>
          <w:b/>
          <w:sz w:val="30"/>
        </w:rPr>
        <w:t>）</w:t>
      </w:r>
    </w:p>
    <w:p w:rsidR="00CF6558" w:rsidRDefault="00653621">
      <w:pPr>
        <w:widowControl/>
        <w:numPr>
          <w:ilvl w:val="0"/>
          <w:numId w:val="1"/>
        </w:numPr>
        <w:spacing w:line="300" w:lineRule="auto"/>
        <w:jc w:val="left"/>
        <w:rPr>
          <w:sz w:val="24"/>
        </w:rPr>
      </w:pPr>
      <w:bookmarkStart w:id="0" w:name="OLE_LINK6"/>
      <w:bookmarkStart w:id="1" w:name="OLE_LINK7"/>
      <w:bookmarkStart w:id="2" w:name="OLE_LINK1"/>
      <w:r>
        <w:rPr>
          <w:rFonts w:hint="eastAsia"/>
          <w:sz w:val="24"/>
        </w:rPr>
        <w:t>市场点评</w:t>
      </w:r>
    </w:p>
    <w:tbl>
      <w:tblPr>
        <w:tblW w:w="10057" w:type="dxa"/>
        <w:jc w:val="center"/>
        <w:tblBorders>
          <w:top w:val="single" w:sz="12" w:space="0" w:color="FF0000"/>
          <w:bottom w:val="single" w:sz="12" w:space="0" w:color="FF0000"/>
          <w:insideH w:val="dashed" w:sz="4" w:space="0" w:color="FF0000"/>
          <w:insideV w:val="dashed" w:sz="4" w:space="0" w:color="FF0000"/>
        </w:tblBorders>
        <w:tblLayout w:type="fixed"/>
        <w:tblLook w:val="04A0" w:firstRow="1" w:lastRow="0" w:firstColumn="1" w:lastColumn="0" w:noHBand="0" w:noVBand="1"/>
      </w:tblPr>
      <w:tblGrid>
        <w:gridCol w:w="630"/>
        <w:gridCol w:w="924"/>
        <w:gridCol w:w="1123"/>
        <w:gridCol w:w="7380"/>
      </w:tblGrid>
      <w:tr w:rsidR="00CF6558" w:rsidRPr="00ED3265">
        <w:trPr>
          <w:trHeight w:val="1482"/>
          <w:jc w:val="center"/>
        </w:trPr>
        <w:tc>
          <w:tcPr>
            <w:tcW w:w="630" w:type="dxa"/>
            <w:vMerge w:val="restart"/>
            <w:vAlign w:val="center"/>
          </w:tcPr>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黑</w:t>
            </w:r>
          </w:p>
          <w:p w:rsidR="00CF6558" w:rsidRDefault="00653621">
            <w:pPr>
              <w:jc w:val="center"/>
              <w:rPr>
                <w:rFonts w:ascii="宋体" w:hAnsi="宋体"/>
                <w:b/>
                <w:sz w:val="24"/>
                <w:szCs w:val="21"/>
              </w:rPr>
            </w:pPr>
            <w:r>
              <w:rPr>
                <w:rFonts w:ascii="宋体" w:hAnsi="宋体" w:hint="eastAsia"/>
                <w:b/>
                <w:sz w:val="24"/>
                <w:szCs w:val="21"/>
              </w:rPr>
              <w:t>色</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业</w:t>
            </w:r>
          </w:p>
        </w:tc>
        <w:tc>
          <w:tcPr>
            <w:tcW w:w="924" w:type="dxa"/>
          </w:tcPr>
          <w:p w:rsidR="00CF6558" w:rsidRDefault="00CF6558">
            <w:pPr>
              <w:rPr>
                <w:rFonts w:ascii="宋体" w:hAnsi="宋体"/>
                <w:szCs w:val="21"/>
              </w:rPr>
            </w:pPr>
          </w:p>
          <w:p w:rsidR="00CF6558" w:rsidRDefault="00653621">
            <w:pPr>
              <w:jc w:val="center"/>
              <w:rPr>
                <w:rFonts w:ascii="宋体" w:hAnsi="宋体"/>
                <w:szCs w:val="21"/>
              </w:rPr>
            </w:pPr>
            <w:r>
              <w:rPr>
                <w:rFonts w:ascii="宋体" w:hAnsi="宋体" w:hint="eastAsia"/>
                <w:szCs w:val="21"/>
              </w:rPr>
              <w:t>螺纹</w:t>
            </w:r>
          </w:p>
        </w:tc>
        <w:tc>
          <w:tcPr>
            <w:tcW w:w="1123" w:type="dxa"/>
          </w:tcPr>
          <w:p w:rsidR="00CF6558" w:rsidRDefault="00CF6558"/>
          <w:p w:rsidR="00CF6558" w:rsidRDefault="0035210B" w:rsidP="0035210B">
            <w:pPr>
              <w:ind w:firstLineChars="100" w:firstLine="210"/>
            </w:pPr>
            <w:r>
              <w:rPr>
                <w:rFonts w:hint="eastAsia"/>
              </w:rPr>
              <w:t>短多</w:t>
            </w:r>
          </w:p>
        </w:tc>
        <w:tc>
          <w:tcPr>
            <w:tcW w:w="7380" w:type="dxa"/>
            <w:vMerge w:val="restart"/>
          </w:tcPr>
          <w:p w:rsidR="00537CE2" w:rsidRDefault="00653621" w:rsidP="0026279D">
            <w:pPr>
              <w:rPr>
                <w:rFonts w:ascii="宋体" w:hAnsi="宋体" w:cs="宋体"/>
                <w:sz w:val="18"/>
                <w:szCs w:val="18"/>
              </w:rPr>
            </w:pPr>
            <w:r w:rsidRPr="00CF36E8">
              <w:rPr>
                <w:rFonts w:ascii="宋体" w:hAnsi="宋体" w:cs="宋体" w:hint="eastAsia"/>
                <w:b/>
                <w:sz w:val="18"/>
                <w:szCs w:val="18"/>
              </w:rPr>
              <w:t>螺纹：</w:t>
            </w:r>
            <w:r w:rsidR="00537CE2" w:rsidRPr="00537CE2">
              <w:rPr>
                <w:rFonts w:ascii="宋体" w:hAnsi="宋体" w:cs="宋体" w:hint="eastAsia"/>
                <w:sz w:val="18"/>
                <w:szCs w:val="18"/>
              </w:rPr>
              <w:t>唐山徐州限产消息落地，但总体影响有限。今年粗钢产量同比下降的目标不再提及，则供应量可能保持增长态势，仍需关注政策端变化。目前螺纹钢需求旺季已经过去，现货市场成交逐渐转弱。现货</w:t>
            </w:r>
            <w:proofErr w:type="gramStart"/>
            <w:r w:rsidR="00537CE2" w:rsidRPr="00537CE2">
              <w:rPr>
                <w:rFonts w:ascii="宋体" w:hAnsi="宋体" w:cs="宋体" w:hint="eastAsia"/>
                <w:sz w:val="18"/>
                <w:szCs w:val="18"/>
              </w:rPr>
              <w:t>端利润</w:t>
            </w:r>
            <w:proofErr w:type="gramEnd"/>
            <w:r w:rsidR="00537CE2" w:rsidRPr="00537CE2">
              <w:rPr>
                <w:rFonts w:ascii="宋体" w:hAnsi="宋体" w:cs="宋体" w:hint="eastAsia"/>
                <w:sz w:val="18"/>
                <w:szCs w:val="18"/>
              </w:rPr>
              <w:t>迅速压缩至盈亏平衡线,现货氛围稍有所企稳。上周螺纹产量小幅增加，多数钢厂正常生产，五大品种表观消费量同比偏低，库存一增一降，当前市场去库节奏受到宏观环境影响较大。自去年</w:t>
            </w:r>
            <w:proofErr w:type="gramStart"/>
            <w:r w:rsidR="00537CE2" w:rsidRPr="00537CE2">
              <w:rPr>
                <w:rFonts w:ascii="宋体" w:hAnsi="宋体" w:cs="宋体" w:hint="eastAsia"/>
                <w:sz w:val="18"/>
                <w:szCs w:val="18"/>
              </w:rPr>
              <w:t>年</w:t>
            </w:r>
            <w:proofErr w:type="gramEnd"/>
            <w:r w:rsidR="00537CE2" w:rsidRPr="00537CE2">
              <w:rPr>
                <w:rFonts w:ascii="宋体" w:hAnsi="宋体" w:cs="宋体" w:hint="eastAsia"/>
                <w:sz w:val="18"/>
                <w:szCs w:val="18"/>
              </w:rPr>
              <w:t>中以来，在地产收紧政策的约束下，整体拿地情况持续转差，2020年5—12月高基数效应下，预计地产新开工增速将大概率维持负增长，则对于建筑钢材需求构成利空影响。后续关注高层政策面和环保限产的进一步消息。</w:t>
            </w:r>
          </w:p>
          <w:p w:rsidR="00537CE2" w:rsidRDefault="00653621" w:rsidP="0026279D">
            <w:pPr>
              <w:rPr>
                <w:rFonts w:ascii="宋体" w:hAnsi="宋体" w:cs="宋体"/>
                <w:sz w:val="18"/>
                <w:szCs w:val="18"/>
              </w:rPr>
            </w:pPr>
            <w:r w:rsidRPr="00CF36E8">
              <w:rPr>
                <w:rFonts w:ascii="宋体" w:hAnsi="宋体" w:cs="宋体" w:hint="eastAsia"/>
                <w:b/>
                <w:sz w:val="18"/>
                <w:szCs w:val="18"/>
              </w:rPr>
              <w:t>铁矿</w:t>
            </w:r>
            <w:r w:rsidRPr="00CF36E8">
              <w:rPr>
                <w:rFonts w:ascii="宋体" w:hAnsi="宋体" w:cs="宋体" w:hint="eastAsia"/>
                <w:sz w:val="18"/>
                <w:szCs w:val="18"/>
              </w:rPr>
              <w:t>：</w:t>
            </w:r>
            <w:r w:rsidR="00537CE2" w:rsidRPr="00537CE2">
              <w:rPr>
                <w:rFonts w:ascii="宋体" w:hAnsi="宋体" w:cs="宋体" w:hint="eastAsia"/>
                <w:sz w:val="18"/>
                <w:szCs w:val="18"/>
              </w:rPr>
              <w:t>铁矿石自身基本面没有明显矛盾，但铁矿石价格处于历史高位存在高估嫌疑，后期走势或以跟随成材为主。钢材成交较好，日均铁水产量高位，原料端铁矿需求偏好，价格有所支撑。供应端，澳洲巴西上周发运大幅回落，</w:t>
            </w:r>
            <w:proofErr w:type="gramStart"/>
            <w:r w:rsidR="00537CE2" w:rsidRPr="00537CE2">
              <w:rPr>
                <w:rFonts w:ascii="宋体" w:hAnsi="宋体" w:cs="宋体" w:hint="eastAsia"/>
                <w:sz w:val="18"/>
                <w:szCs w:val="18"/>
              </w:rPr>
              <w:t>到港也环比</w:t>
            </w:r>
            <w:proofErr w:type="gramEnd"/>
            <w:r w:rsidR="00537CE2" w:rsidRPr="00537CE2">
              <w:rPr>
                <w:rFonts w:ascii="宋体" w:hAnsi="宋体" w:cs="宋体" w:hint="eastAsia"/>
                <w:sz w:val="18"/>
                <w:szCs w:val="18"/>
              </w:rPr>
              <w:t>上周大幅回落，供应压力或有缓解。限产初期，钢厂高炉需求受影响强烈，但随后大部分合</w:t>
            </w:r>
            <w:proofErr w:type="gramStart"/>
            <w:r w:rsidR="00537CE2" w:rsidRPr="00537CE2">
              <w:rPr>
                <w:rFonts w:ascii="宋体" w:hAnsi="宋体" w:cs="宋体" w:hint="eastAsia"/>
                <w:sz w:val="18"/>
                <w:szCs w:val="18"/>
              </w:rPr>
              <w:t>规</w:t>
            </w:r>
            <w:proofErr w:type="gramEnd"/>
            <w:r w:rsidR="00537CE2" w:rsidRPr="00537CE2">
              <w:rPr>
                <w:rFonts w:ascii="宋体" w:hAnsi="宋体" w:cs="宋体" w:hint="eastAsia"/>
                <w:sz w:val="18"/>
                <w:szCs w:val="18"/>
              </w:rPr>
              <w:t>产能复苏，铁水产量先抑后扬，目前钢厂铁水产量持续增长，限产造成的冲击极小。后续关注限产是否加码，由于短期调整力度过大，基本面又较好，情绪释放完毕后，铁矿反弹幅度也较大，入场的</w:t>
            </w:r>
            <w:proofErr w:type="gramStart"/>
            <w:r w:rsidR="00537CE2" w:rsidRPr="00537CE2">
              <w:rPr>
                <w:rFonts w:ascii="宋体" w:hAnsi="宋体" w:cs="宋体" w:hint="eastAsia"/>
                <w:sz w:val="18"/>
                <w:szCs w:val="18"/>
              </w:rPr>
              <w:t>多单暂持有</w:t>
            </w:r>
            <w:proofErr w:type="gramEnd"/>
            <w:r w:rsidR="00537CE2" w:rsidRPr="00537CE2">
              <w:rPr>
                <w:rFonts w:ascii="宋体" w:hAnsi="宋体" w:cs="宋体" w:hint="eastAsia"/>
                <w:sz w:val="18"/>
                <w:szCs w:val="18"/>
              </w:rPr>
              <w:t>。</w:t>
            </w:r>
          </w:p>
          <w:p w:rsidR="00CF6558" w:rsidRPr="00724099" w:rsidRDefault="00653621" w:rsidP="0026279D">
            <w:pPr>
              <w:rPr>
                <w:rFonts w:ascii="宋体" w:hAnsi="宋体" w:cs="宋体"/>
                <w:bCs/>
                <w:sz w:val="18"/>
                <w:szCs w:val="18"/>
              </w:rPr>
            </w:pPr>
            <w:r>
              <w:rPr>
                <w:rFonts w:ascii="宋体" w:hAnsi="宋体" w:cs="宋体" w:hint="eastAsia"/>
                <w:b/>
                <w:sz w:val="18"/>
                <w:szCs w:val="18"/>
              </w:rPr>
              <w:t>动力煤</w:t>
            </w:r>
            <w:r>
              <w:rPr>
                <w:rFonts w:ascii="宋体" w:hAnsi="宋体" w:cs="宋体" w:hint="eastAsia"/>
                <w:bCs/>
                <w:sz w:val="18"/>
                <w:szCs w:val="18"/>
              </w:rPr>
              <w:t>：</w:t>
            </w:r>
            <w:r w:rsidR="008B395A" w:rsidRPr="008B395A">
              <w:rPr>
                <w:rFonts w:ascii="宋体" w:hAnsi="宋体" w:cs="宋体" w:hint="eastAsia"/>
                <w:sz w:val="18"/>
                <w:szCs w:val="18"/>
              </w:rPr>
              <w:t>现货端产地煤价销售火热，6月煤管票更新，正常产销。本月是全国第20个安全生产月，但周末相继四起煤矿事故，预计矿上安全检查会进一步趋严。港口：环渤海，截止6月4日库存2498.4万吨。部分贸易商止盈出货为主，</w:t>
            </w:r>
            <w:proofErr w:type="gramStart"/>
            <w:r w:rsidR="008B395A" w:rsidRPr="008B395A">
              <w:rPr>
                <w:rFonts w:ascii="宋体" w:hAnsi="宋体" w:cs="宋体" w:hint="eastAsia"/>
                <w:sz w:val="18"/>
                <w:szCs w:val="18"/>
              </w:rPr>
              <w:t>下游对</w:t>
            </w:r>
            <w:proofErr w:type="gramEnd"/>
            <w:r w:rsidR="008B395A" w:rsidRPr="008B395A">
              <w:rPr>
                <w:rFonts w:ascii="宋体" w:hAnsi="宋体" w:cs="宋体" w:hint="eastAsia"/>
                <w:sz w:val="18"/>
                <w:szCs w:val="18"/>
              </w:rPr>
              <w:t>价格接受度尚可，不断来问价。需求方面：南方地区气温开始回升，用电负荷攀升，日耗开始增加。但电厂还是对煤价有抵触，只</w:t>
            </w:r>
            <w:proofErr w:type="gramStart"/>
            <w:r w:rsidR="008B395A" w:rsidRPr="008B395A">
              <w:rPr>
                <w:rFonts w:ascii="宋体" w:hAnsi="宋体" w:cs="宋体" w:hint="eastAsia"/>
                <w:sz w:val="18"/>
                <w:szCs w:val="18"/>
              </w:rPr>
              <w:t>保持刚需采购</w:t>
            </w:r>
            <w:proofErr w:type="gramEnd"/>
            <w:r w:rsidR="008B395A" w:rsidRPr="008B395A">
              <w:rPr>
                <w:rFonts w:ascii="宋体" w:hAnsi="宋体" w:cs="宋体" w:hint="eastAsia"/>
                <w:sz w:val="18"/>
                <w:szCs w:val="18"/>
              </w:rPr>
              <w:t>。从沿海八省电厂整体库存仍没有多少改善，维持在12-13天左右，库存仍旧在较低位置。“迎峰度夏”旺季来临，下游电厂库存愈发紧张，补库任务较重。整体来看：安全事故频发，临近建党100周年，安全生产要求严格，预计煤矿安全</w:t>
            </w:r>
            <w:proofErr w:type="gramStart"/>
            <w:r w:rsidR="008B395A" w:rsidRPr="008B395A">
              <w:rPr>
                <w:rFonts w:ascii="宋体" w:hAnsi="宋体" w:cs="宋体" w:hint="eastAsia"/>
                <w:sz w:val="18"/>
                <w:szCs w:val="18"/>
              </w:rPr>
              <w:t>检查会趋严</w:t>
            </w:r>
            <w:proofErr w:type="gramEnd"/>
            <w:r w:rsidR="008B395A" w:rsidRPr="008B395A">
              <w:rPr>
                <w:rFonts w:ascii="宋体" w:hAnsi="宋体" w:cs="宋体" w:hint="eastAsia"/>
                <w:sz w:val="18"/>
                <w:szCs w:val="18"/>
              </w:rPr>
              <w:t>，尽管有保供政策，但实际增产和开放露天矿等系列增产措施并没有落地，实际产能释放有限，需求端电厂库存低位，补库压力大对煤价有较强支撑力，操作上建议谨慎持有多单，持续关注具体增产政策落地。</w:t>
            </w:r>
          </w:p>
        </w:tc>
      </w:tr>
      <w:tr w:rsidR="00CF6558">
        <w:trPr>
          <w:trHeight w:val="105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铁矿石</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61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ind w:firstLineChars="50" w:firstLine="105"/>
              <w:rPr>
                <w:rFonts w:ascii="宋体" w:hAnsi="宋体"/>
                <w:szCs w:val="21"/>
              </w:rPr>
            </w:pPr>
            <w:r>
              <w:rPr>
                <w:rFonts w:ascii="宋体" w:hAnsi="宋体" w:hint="eastAsia"/>
                <w:szCs w:val="21"/>
              </w:rPr>
              <w:t>焦煤</w:t>
            </w:r>
          </w:p>
        </w:tc>
        <w:tc>
          <w:tcPr>
            <w:tcW w:w="1123" w:type="dxa"/>
            <w:vAlign w:val="center"/>
          </w:tcPr>
          <w:p w:rsidR="00CF6558" w:rsidRDefault="0035210B" w:rsidP="00772C27">
            <w:pPr>
              <w:ind w:firstLineChars="100" w:firstLine="210"/>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焦炭</w:t>
            </w:r>
          </w:p>
        </w:tc>
        <w:tc>
          <w:tcPr>
            <w:tcW w:w="1123" w:type="dxa"/>
            <w:vAlign w:val="center"/>
          </w:tcPr>
          <w:p w:rsidR="00CF6558" w:rsidRDefault="0035210B">
            <w:pPr>
              <w:widowControl/>
              <w:jc w:val="center"/>
              <w:rPr>
                <w:rFonts w:ascii="宋体" w:hAnsi="宋体"/>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动力煤</w:t>
            </w:r>
          </w:p>
        </w:tc>
        <w:tc>
          <w:tcPr>
            <w:tcW w:w="1123" w:type="dxa"/>
            <w:vAlign w:val="center"/>
          </w:tcPr>
          <w:p w:rsidR="00CF6558" w:rsidRDefault="00185749">
            <w:pPr>
              <w:jc w:val="center"/>
              <w:rPr>
                <w:rFonts w:ascii="宋体" w:hAnsi="宋体"/>
                <w:kern w:val="0"/>
                <w:szCs w:val="21"/>
              </w:rPr>
            </w:pPr>
            <w:r>
              <w:rPr>
                <w:rFonts w:hint="eastAsia"/>
              </w:rPr>
              <w:t>短多</w:t>
            </w:r>
          </w:p>
        </w:tc>
        <w:tc>
          <w:tcPr>
            <w:tcW w:w="7380" w:type="dxa"/>
            <w:vMerge/>
          </w:tcPr>
          <w:p w:rsidR="00CF6558" w:rsidRDefault="00CF6558">
            <w:pPr>
              <w:rPr>
                <w:rFonts w:ascii="宋体" w:hAnsi="宋体" w:cs="宋体"/>
                <w:sz w:val="18"/>
                <w:szCs w:val="18"/>
              </w:rPr>
            </w:pPr>
          </w:p>
        </w:tc>
      </w:tr>
      <w:tr w:rsidR="00CF6558">
        <w:trPr>
          <w:trHeight w:val="1905"/>
          <w:jc w:val="center"/>
        </w:trPr>
        <w:tc>
          <w:tcPr>
            <w:tcW w:w="630" w:type="dxa"/>
            <w:vMerge w:val="restart"/>
            <w:vAlign w:val="center"/>
          </w:tcPr>
          <w:p w:rsidR="00CF6558" w:rsidRDefault="00653621">
            <w:pPr>
              <w:jc w:val="center"/>
              <w:rPr>
                <w:rFonts w:ascii="宋体" w:hAnsi="宋体"/>
                <w:b/>
                <w:sz w:val="24"/>
                <w:szCs w:val="21"/>
              </w:rPr>
            </w:pPr>
            <w:r>
              <w:rPr>
                <w:rFonts w:ascii="宋体" w:hAnsi="宋体" w:hint="eastAsia"/>
                <w:b/>
                <w:sz w:val="24"/>
                <w:szCs w:val="21"/>
              </w:rPr>
              <w:t>有色金属</w:t>
            </w:r>
          </w:p>
        </w:tc>
        <w:tc>
          <w:tcPr>
            <w:tcW w:w="924" w:type="dxa"/>
            <w:vAlign w:val="center"/>
          </w:tcPr>
          <w:p w:rsidR="00CF6558" w:rsidRDefault="00653621">
            <w:pPr>
              <w:jc w:val="center"/>
              <w:rPr>
                <w:rFonts w:ascii="宋体" w:hAnsi="宋体"/>
                <w:szCs w:val="21"/>
              </w:rPr>
            </w:pPr>
            <w:r>
              <w:rPr>
                <w:rFonts w:ascii="宋体" w:hAnsi="宋体" w:hint="eastAsia"/>
                <w:szCs w:val="21"/>
              </w:rPr>
              <w:t>铜</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val="restart"/>
          </w:tcPr>
          <w:p w:rsidR="00537CE2" w:rsidRPr="00537CE2" w:rsidRDefault="00200790" w:rsidP="00537CE2">
            <w:pPr>
              <w:rPr>
                <w:rFonts w:ascii="宋体" w:hAnsi="宋体" w:cs="宋体"/>
                <w:sz w:val="18"/>
                <w:szCs w:val="18"/>
              </w:rPr>
            </w:pPr>
            <w:r w:rsidRPr="00200790">
              <w:rPr>
                <w:rFonts w:ascii="宋体" w:hAnsi="宋体" w:cs="宋体" w:hint="eastAsia"/>
                <w:b/>
                <w:sz w:val="18"/>
                <w:szCs w:val="18"/>
              </w:rPr>
              <w:t>铜：</w:t>
            </w:r>
            <w:r w:rsidR="00537CE2" w:rsidRPr="00537CE2">
              <w:rPr>
                <w:rFonts w:ascii="宋体" w:hAnsi="宋体" w:cs="宋体" w:hint="eastAsia"/>
                <w:sz w:val="18"/>
                <w:szCs w:val="18"/>
              </w:rPr>
              <w:t>美ADP数据亮眼 美联储货币转向忧虑上升  沪铜低开震荡</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从供应端来看，虽然我们预期全球铜矿产量将有所增加，但在疫情、劳资谈判等因素的扰动下，2021 年全球的铜矿供应仍有较大的不确定性；从消费端来看，在当前步入消费旺季且叠加碳中和大背景的情况下，铜下游消费的企稳回升对铜价的拉升效用正在显现；整体而言，供应端的持续收紧与需求端的稳步复苏将对铜价形成上涨支撑。</w:t>
            </w:r>
          </w:p>
          <w:p w:rsidR="00537CE2" w:rsidRDefault="00537CE2" w:rsidP="00537CE2">
            <w:pPr>
              <w:rPr>
                <w:rFonts w:ascii="宋体" w:hAnsi="宋体" w:cs="宋体"/>
                <w:sz w:val="18"/>
                <w:szCs w:val="18"/>
              </w:rPr>
            </w:pPr>
            <w:r w:rsidRPr="00537CE2">
              <w:rPr>
                <w:rFonts w:ascii="宋体" w:hAnsi="宋体" w:cs="宋体" w:hint="eastAsia"/>
                <w:sz w:val="18"/>
                <w:szCs w:val="18"/>
              </w:rPr>
              <w:t>关注亚太地区的疫情变化、碳中和与新能源汽车以及中美两国的基建对</w:t>
            </w:r>
            <w:proofErr w:type="gramStart"/>
            <w:r w:rsidRPr="00537CE2">
              <w:rPr>
                <w:rFonts w:ascii="宋体" w:hAnsi="宋体" w:cs="宋体" w:hint="eastAsia"/>
                <w:sz w:val="18"/>
                <w:szCs w:val="18"/>
              </w:rPr>
              <w:t>铜需求</w:t>
            </w:r>
            <w:proofErr w:type="gramEnd"/>
            <w:r w:rsidRPr="00537CE2">
              <w:rPr>
                <w:rFonts w:ascii="宋体" w:hAnsi="宋体" w:cs="宋体" w:hint="eastAsia"/>
                <w:sz w:val="18"/>
                <w:szCs w:val="18"/>
              </w:rPr>
              <w:t>的拉动影响、美联储的货币政策变化、美国基建计划的变数、智利与秘鲁的矿业政治风险、智利的罢工、国家监管层对大宗商品价格的持续政策调控</w:t>
            </w:r>
          </w:p>
          <w:p w:rsidR="00537CE2" w:rsidRPr="00537CE2" w:rsidRDefault="00200790" w:rsidP="00537CE2">
            <w:pPr>
              <w:rPr>
                <w:rFonts w:ascii="宋体" w:hAnsi="宋体" w:cs="宋体"/>
                <w:sz w:val="18"/>
                <w:szCs w:val="18"/>
              </w:rPr>
            </w:pPr>
            <w:r w:rsidRPr="00200790">
              <w:rPr>
                <w:rFonts w:ascii="宋体" w:hAnsi="宋体" w:cs="宋体" w:hint="eastAsia"/>
                <w:b/>
                <w:sz w:val="18"/>
                <w:szCs w:val="18"/>
              </w:rPr>
              <w:t>铝：</w:t>
            </w:r>
            <w:r w:rsidR="00537CE2" w:rsidRPr="00537CE2">
              <w:rPr>
                <w:rFonts w:ascii="宋体" w:hAnsi="宋体" w:cs="宋体" w:hint="eastAsia"/>
                <w:sz w:val="18"/>
                <w:szCs w:val="18"/>
              </w:rPr>
              <w:t xml:space="preserve">美联储货币转向忧虑上升 美元反弹  </w:t>
            </w:r>
            <w:proofErr w:type="gramStart"/>
            <w:r w:rsidR="00537CE2" w:rsidRPr="00537CE2">
              <w:rPr>
                <w:rFonts w:ascii="宋体" w:hAnsi="宋体" w:cs="宋体" w:hint="eastAsia"/>
                <w:sz w:val="18"/>
                <w:szCs w:val="18"/>
              </w:rPr>
              <w:t>沪铝低开</w:t>
            </w:r>
            <w:proofErr w:type="gramEnd"/>
            <w:r w:rsidR="00537CE2" w:rsidRPr="00537CE2">
              <w:rPr>
                <w:rFonts w:ascii="宋体" w:hAnsi="宋体" w:cs="宋体" w:hint="eastAsia"/>
                <w:sz w:val="18"/>
                <w:szCs w:val="18"/>
              </w:rPr>
              <w:t>震荡</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从当前的下游消费需求来看，当前，下游消费复苏明显；从当前社会库存变化来看，拐头迹</w:t>
            </w:r>
            <w:r w:rsidRPr="00537CE2">
              <w:rPr>
                <w:rFonts w:ascii="宋体" w:hAnsi="宋体" w:cs="宋体" w:hint="eastAsia"/>
                <w:sz w:val="18"/>
                <w:szCs w:val="18"/>
              </w:rPr>
              <w:lastRenderedPageBreak/>
              <w:t>象已非常明显，旺季去</w:t>
            </w:r>
            <w:proofErr w:type="gramStart"/>
            <w:r w:rsidRPr="00537CE2">
              <w:rPr>
                <w:rFonts w:ascii="宋体" w:hAnsi="宋体" w:cs="宋体" w:hint="eastAsia"/>
                <w:sz w:val="18"/>
                <w:szCs w:val="18"/>
              </w:rPr>
              <w:t>库依然</w:t>
            </w:r>
            <w:proofErr w:type="gramEnd"/>
            <w:r w:rsidRPr="00537CE2">
              <w:rPr>
                <w:rFonts w:ascii="宋体" w:hAnsi="宋体" w:cs="宋体" w:hint="eastAsia"/>
                <w:sz w:val="18"/>
                <w:szCs w:val="18"/>
              </w:rPr>
              <w:t>可期，此外，在碳排放-碳中和相关政策利好下，电解</w:t>
            </w:r>
            <w:proofErr w:type="gramStart"/>
            <w:r w:rsidRPr="00537CE2">
              <w:rPr>
                <w:rFonts w:ascii="宋体" w:hAnsi="宋体" w:cs="宋体" w:hint="eastAsia"/>
                <w:sz w:val="18"/>
                <w:szCs w:val="18"/>
              </w:rPr>
              <w:t>铝供应</w:t>
            </w:r>
            <w:proofErr w:type="gramEnd"/>
            <w:r w:rsidRPr="00537CE2">
              <w:rPr>
                <w:rFonts w:ascii="宋体" w:hAnsi="宋体" w:cs="宋体" w:hint="eastAsia"/>
                <w:sz w:val="18"/>
                <w:szCs w:val="18"/>
              </w:rPr>
              <w:t>干扰提升，这将对铝价形成利多支撑。</w:t>
            </w:r>
          </w:p>
          <w:p w:rsidR="00537CE2" w:rsidRDefault="00537CE2" w:rsidP="00537CE2">
            <w:pPr>
              <w:rPr>
                <w:rFonts w:ascii="宋体" w:hAnsi="宋体" w:cs="宋体"/>
                <w:sz w:val="18"/>
                <w:szCs w:val="18"/>
              </w:rPr>
            </w:pPr>
            <w:proofErr w:type="gramStart"/>
            <w:r w:rsidRPr="00537CE2">
              <w:rPr>
                <w:rFonts w:ascii="宋体" w:hAnsi="宋体" w:cs="宋体" w:hint="eastAsia"/>
                <w:sz w:val="18"/>
                <w:szCs w:val="18"/>
              </w:rPr>
              <w:t>关注秋碳中和与碳达峰</w:t>
            </w:r>
            <w:proofErr w:type="gramEnd"/>
            <w:r w:rsidRPr="00537CE2">
              <w:rPr>
                <w:rFonts w:ascii="宋体" w:hAnsi="宋体" w:cs="宋体" w:hint="eastAsia"/>
                <w:sz w:val="18"/>
                <w:szCs w:val="18"/>
              </w:rPr>
              <w:t>对运行产能与新增产能投放的影响、交易所的库存变化与消费的变化、新能源车的发展、内蒙能耗双控的影响、云南限电对炼厂的影响</w:t>
            </w:r>
          </w:p>
          <w:p w:rsidR="00537CE2" w:rsidRPr="00537CE2" w:rsidRDefault="00200790" w:rsidP="00537CE2">
            <w:pPr>
              <w:rPr>
                <w:rFonts w:ascii="宋体" w:hAnsi="宋体" w:cs="宋体"/>
                <w:sz w:val="18"/>
                <w:szCs w:val="18"/>
              </w:rPr>
            </w:pPr>
            <w:r w:rsidRPr="00200790">
              <w:rPr>
                <w:rFonts w:ascii="宋体" w:hAnsi="宋体" w:cs="宋体" w:hint="eastAsia"/>
                <w:b/>
                <w:sz w:val="18"/>
                <w:szCs w:val="18"/>
              </w:rPr>
              <w:t>锌：</w:t>
            </w:r>
            <w:r w:rsidR="00537CE2" w:rsidRPr="00537CE2">
              <w:rPr>
                <w:rFonts w:ascii="宋体" w:hAnsi="宋体" w:cs="宋体" w:hint="eastAsia"/>
                <w:sz w:val="18"/>
                <w:szCs w:val="18"/>
              </w:rPr>
              <w:t xml:space="preserve">消费惯性降温  VS 下游补库需求回暖  </w:t>
            </w:r>
            <w:proofErr w:type="gramStart"/>
            <w:r w:rsidR="00537CE2" w:rsidRPr="00537CE2">
              <w:rPr>
                <w:rFonts w:ascii="宋体" w:hAnsi="宋体" w:cs="宋体" w:hint="eastAsia"/>
                <w:sz w:val="18"/>
                <w:szCs w:val="18"/>
              </w:rPr>
              <w:t>沪锌低开</w:t>
            </w:r>
            <w:proofErr w:type="gramEnd"/>
            <w:r w:rsidR="00537CE2" w:rsidRPr="00537CE2">
              <w:rPr>
                <w:rFonts w:ascii="宋体" w:hAnsi="宋体" w:cs="宋体" w:hint="eastAsia"/>
                <w:sz w:val="18"/>
                <w:szCs w:val="18"/>
              </w:rPr>
              <w:t>回升</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在继云南限电之后，广西也开始了限电，这将影响精锌供应近1.5万吨,此外，虽然镀锌与锌合金的消费旺季即将结束，但随着中美欧经济的持续错峰复苏，锌将在接下去的消费淡季呈现淡季不淡的情形。</w:t>
            </w:r>
          </w:p>
          <w:p w:rsidR="00537CE2" w:rsidRDefault="00537CE2" w:rsidP="00537CE2">
            <w:pPr>
              <w:rPr>
                <w:rFonts w:ascii="宋体" w:hAnsi="宋体" w:cs="宋体"/>
                <w:sz w:val="18"/>
                <w:szCs w:val="18"/>
              </w:rPr>
            </w:pPr>
            <w:r w:rsidRPr="00537CE2">
              <w:rPr>
                <w:rFonts w:ascii="宋体" w:hAnsi="宋体" w:cs="宋体" w:hint="eastAsia"/>
                <w:sz w:val="18"/>
                <w:szCs w:val="18"/>
              </w:rPr>
              <w:t>关注加工费的持续下滑与</w:t>
            </w:r>
            <w:proofErr w:type="gramStart"/>
            <w:r w:rsidRPr="00537CE2">
              <w:rPr>
                <w:rFonts w:ascii="宋体" w:hAnsi="宋体" w:cs="宋体" w:hint="eastAsia"/>
                <w:sz w:val="18"/>
                <w:szCs w:val="18"/>
              </w:rPr>
              <w:t>矿端供应</w:t>
            </w:r>
            <w:proofErr w:type="gramEnd"/>
            <w:r w:rsidRPr="00537CE2">
              <w:rPr>
                <w:rFonts w:ascii="宋体" w:hAnsi="宋体" w:cs="宋体" w:hint="eastAsia"/>
                <w:sz w:val="18"/>
                <w:szCs w:val="18"/>
              </w:rPr>
              <w:t>收紧、炼厂的检修计划、下游的开工率与产能利用率、下游的环保限产情况、美国基建的变数、内蒙能耗双控的影响、云南限电对炼厂的影响、下游的消费需求变化</w:t>
            </w:r>
          </w:p>
          <w:p w:rsidR="00537CE2" w:rsidRPr="00537CE2" w:rsidRDefault="00200790" w:rsidP="00537CE2">
            <w:pPr>
              <w:rPr>
                <w:rFonts w:ascii="宋体" w:hAnsi="宋体" w:cs="宋体"/>
                <w:sz w:val="18"/>
                <w:szCs w:val="18"/>
              </w:rPr>
            </w:pPr>
            <w:r w:rsidRPr="00200790">
              <w:rPr>
                <w:rFonts w:ascii="宋体" w:hAnsi="宋体" w:cs="宋体" w:hint="eastAsia"/>
                <w:b/>
                <w:sz w:val="18"/>
                <w:szCs w:val="18"/>
              </w:rPr>
              <w:t>铅</w:t>
            </w:r>
            <w:r w:rsidRPr="00200790">
              <w:rPr>
                <w:rFonts w:ascii="宋体" w:hAnsi="宋体" w:cs="宋体" w:hint="eastAsia"/>
                <w:sz w:val="18"/>
                <w:szCs w:val="18"/>
              </w:rPr>
              <w:t>：</w:t>
            </w:r>
            <w:r w:rsidR="00537CE2" w:rsidRPr="00537CE2">
              <w:rPr>
                <w:rFonts w:ascii="宋体" w:hAnsi="宋体" w:cs="宋体" w:hint="eastAsia"/>
                <w:sz w:val="18"/>
                <w:szCs w:val="18"/>
              </w:rPr>
              <w:t xml:space="preserve">炼厂生产积极性下降 下逢低按需补库 </w:t>
            </w:r>
            <w:proofErr w:type="gramStart"/>
            <w:r w:rsidR="00537CE2" w:rsidRPr="00537CE2">
              <w:rPr>
                <w:rFonts w:ascii="宋体" w:hAnsi="宋体" w:cs="宋体" w:hint="eastAsia"/>
                <w:sz w:val="18"/>
                <w:szCs w:val="18"/>
              </w:rPr>
              <w:t>沪铅低开</w:t>
            </w:r>
            <w:proofErr w:type="gramEnd"/>
            <w:r w:rsidR="00537CE2" w:rsidRPr="00537CE2">
              <w:rPr>
                <w:rFonts w:ascii="宋体" w:hAnsi="宋体" w:cs="宋体" w:hint="eastAsia"/>
                <w:sz w:val="18"/>
                <w:szCs w:val="18"/>
              </w:rPr>
              <w:t xml:space="preserve">震荡 </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虽然</w:t>
            </w:r>
            <w:proofErr w:type="gramStart"/>
            <w:r w:rsidRPr="00537CE2">
              <w:rPr>
                <w:rFonts w:ascii="宋体" w:hAnsi="宋体" w:cs="宋体" w:hint="eastAsia"/>
                <w:sz w:val="18"/>
                <w:szCs w:val="18"/>
              </w:rPr>
              <w:t>矿端供应</w:t>
            </w:r>
            <w:proofErr w:type="gramEnd"/>
            <w:r w:rsidRPr="00537CE2">
              <w:rPr>
                <w:rFonts w:ascii="宋体" w:hAnsi="宋体" w:cs="宋体" w:hint="eastAsia"/>
                <w:sz w:val="18"/>
                <w:szCs w:val="18"/>
              </w:rPr>
              <w:t>略微偏紧，但炼厂供应压力有所下降，短期的铅价有所上扬，不过在下游需求未见好转的情况下，铅价上行动能不强，或将回归下行趋势。</w:t>
            </w:r>
          </w:p>
          <w:p w:rsidR="00537CE2" w:rsidRDefault="00537CE2" w:rsidP="00537CE2">
            <w:pPr>
              <w:rPr>
                <w:rFonts w:ascii="宋体" w:hAnsi="宋体" w:cs="宋体"/>
                <w:sz w:val="18"/>
                <w:szCs w:val="18"/>
              </w:rPr>
            </w:pPr>
            <w:r w:rsidRPr="00537CE2">
              <w:rPr>
                <w:rFonts w:ascii="宋体" w:hAnsi="宋体" w:cs="宋体" w:hint="eastAsia"/>
                <w:sz w:val="18"/>
                <w:szCs w:val="18"/>
              </w:rPr>
              <w:t>关注秘鲁疫情防控措施对铅矿供应的影响、原生铅与再生铅的供应变化、下游汽车消费需求与电动自行车的消费需求变化、</w:t>
            </w:r>
            <w:proofErr w:type="gramStart"/>
            <w:r w:rsidRPr="00537CE2">
              <w:rPr>
                <w:rFonts w:ascii="宋体" w:hAnsi="宋体" w:cs="宋体" w:hint="eastAsia"/>
                <w:sz w:val="18"/>
                <w:szCs w:val="18"/>
              </w:rPr>
              <w:t>下游蓄企的</w:t>
            </w:r>
            <w:proofErr w:type="gramEnd"/>
            <w:r w:rsidRPr="00537CE2">
              <w:rPr>
                <w:rFonts w:ascii="宋体" w:hAnsi="宋体" w:cs="宋体" w:hint="eastAsia"/>
                <w:sz w:val="18"/>
                <w:szCs w:val="18"/>
              </w:rPr>
              <w:t>备货情况、内蒙减产计划</w:t>
            </w:r>
          </w:p>
          <w:p w:rsidR="00537CE2" w:rsidRPr="00537CE2" w:rsidRDefault="00200790" w:rsidP="00537CE2">
            <w:pPr>
              <w:rPr>
                <w:rFonts w:ascii="宋体" w:hAnsi="宋体" w:cs="宋体"/>
                <w:sz w:val="18"/>
                <w:szCs w:val="18"/>
              </w:rPr>
            </w:pPr>
            <w:r w:rsidRPr="00200790">
              <w:rPr>
                <w:rFonts w:ascii="宋体" w:hAnsi="宋体" w:cs="宋体" w:hint="eastAsia"/>
                <w:b/>
                <w:sz w:val="18"/>
                <w:szCs w:val="18"/>
              </w:rPr>
              <w:t>锡：</w:t>
            </w:r>
            <w:r w:rsidR="00537CE2" w:rsidRPr="00537CE2">
              <w:rPr>
                <w:rFonts w:ascii="宋体" w:hAnsi="宋体" w:cs="宋体" w:hint="eastAsia"/>
                <w:sz w:val="18"/>
                <w:szCs w:val="18"/>
              </w:rPr>
              <w:t xml:space="preserve">白鹤滩水电站投入运行 限电停产将有所缓解 </w:t>
            </w:r>
            <w:proofErr w:type="gramStart"/>
            <w:r w:rsidR="00537CE2" w:rsidRPr="00537CE2">
              <w:rPr>
                <w:rFonts w:ascii="宋体" w:hAnsi="宋体" w:cs="宋体" w:hint="eastAsia"/>
                <w:sz w:val="18"/>
                <w:szCs w:val="18"/>
              </w:rPr>
              <w:t>沪锡低开</w:t>
            </w:r>
            <w:proofErr w:type="gramEnd"/>
            <w:r w:rsidR="00537CE2" w:rsidRPr="00537CE2">
              <w:rPr>
                <w:rFonts w:ascii="宋体" w:hAnsi="宋体" w:cs="宋体" w:hint="eastAsia"/>
                <w:sz w:val="18"/>
                <w:szCs w:val="18"/>
              </w:rPr>
              <w:t>震荡</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一方面，上游非洲锡矿表示过去</w:t>
            </w:r>
            <w:proofErr w:type="gramStart"/>
            <w:r w:rsidRPr="00537CE2">
              <w:rPr>
                <w:rFonts w:ascii="宋体" w:hAnsi="宋体" w:cs="宋体" w:hint="eastAsia"/>
                <w:sz w:val="18"/>
                <w:szCs w:val="18"/>
              </w:rPr>
              <w:t>一</w:t>
            </w:r>
            <w:proofErr w:type="gramEnd"/>
            <w:r w:rsidRPr="00537CE2">
              <w:rPr>
                <w:rFonts w:ascii="宋体" w:hAnsi="宋体" w:cs="宋体" w:hint="eastAsia"/>
                <w:sz w:val="18"/>
                <w:szCs w:val="18"/>
              </w:rPr>
              <w:t>年产量超预期、康尼什金属公司将重新开发南克罗夫蒂锡矿出现进展将使得未来供应紧张形势有所缓解，另一方面，当前下游的需求仍显乏力，供需</w:t>
            </w:r>
            <w:proofErr w:type="gramStart"/>
            <w:r w:rsidRPr="00537CE2">
              <w:rPr>
                <w:rFonts w:ascii="宋体" w:hAnsi="宋体" w:cs="宋体" w:hint="eastAsia"/>
                <w:sz w:val="18"/>
                <w:szCs w:val="18"/>
              </w:rPr>
              <w:t>两淡将</w:t>
            </w:r>
            <w:proofErr w:type="gramEnd"/>
            <w:r w:rsidRPr="00537CE2">
              <w:rPr>
                <w:rFonts w:ascii="宋体" w:hAnsi="宋体" w:cs="宋体" w:hint="eastAsia"/>
                <w:sz w:val="18"/>
                <w:szCs w:val="18"/>
              </w:rPr>
              <w:t>使使锡价承压。</w:t>
            </w:r>
          </w:p>
          <w:p w:rsidR="00537CE2" w:rsidRDefault="00537CE2" w:rsidP="00537CE2">
            <w:pPr>
              <w:rPr>
                <w:rFonts w:ascii="宋体" w:hAnsi="宋体" w:cs="宋体"/>
                <w:sz w:val="18"/>
                <w:szCs w:val="18"/>
              </w:rPr>
            </w:pPr>
            <w:r w:rsidRPr="00537CE2">
              <w:rPr>
                <w:rFonts w:ascii="宋体" w:hAnsi="宋体" w:cs="宋体" w:hint="eastAsia"/>
                <w:sz w:val="18"/>
                <w:szCs w:val="18"/>
              </w:rPr>
              <w:t>关注锡矿</w:t>
            </w:r>
            <w:proofErr w:type="gramStart"/>
            <w:r w:rsidRPr="00537CE2">
              <w:rPr>
                <w:rFonts w:ascii="宋体" w:hAnsi="宋体" w:cs="宋体" w:hint="eastAsia"/>
                <w:sz w:val="18"/>
                <w:szCs w:val="18"/>
              </w:rPr>
              <w:t>与精锡的</w:t>
            </w:r>
            <w:proofErr w:type="gramEnd"/>
            <w:r w:rsidRPr="00537CE2">
              <w:rPr>
                <w:rFonts w:ascii="宋体" w:hAnsi="宋体" w:cs="宋体" w:hint="eastAsia"/>
                <w:sz w:val="18"/>
                <w:szCs w:val="18"/>
              </w:rPr>
              <w:t>供应减少与下游需求相对稳定的矛盾、去库速度、</w:t>
            </w:r>
            <w:proofErr w:type="gramStart"/>
            <w:r w:rsidRPr="00537CE2">
              <w:rPr>
                <w:rFonts w:ascii="宋体" w:hAnsi="宋体" w:cs="宋体" w:hint="eastAsia"/>
                <w:sz w:val="18"/>
                <w:szCs w:val="18"/>
              </w:rPr>
              <w:t>云锡新</w:t>
            </w:r>
            <w:proofErr w:type="gramEnd"/>
            <w:r w:rsidRPr="00537CE2">
              <w:rPr>
                <w:rFonts w:ascii="宋体" w:hAnsi="宋体" w:cs="宋体" w:hint="eastAsia"/>
                <w:sz w:val="18"/>
                <w:szCs w:val="18"/>
              </w:rPr>
              <w:t>生产线的投产进度</w:t>
            </w:r>
          </w:p>
          <w:p w:rsidR="00537CE2" w:rsidRPr="00537CE2" w:rsidRDefault="00200790" w:rsidP="00537CE2">
            <w:pPr>
              <w:rPr>
                <w:rFonts w:ascii="宋体" w:hAnsi="宋体" w:cs="宋体"/>
                <w:sz w:val="18"/>
                <w:szCs w:val="18"/>
              </w:rPr>
            </w:pPr>
            <w:r w:rsidRPr="00200790">
              <w:rPr>
                <w:rFonts w:ascii="宋体" w:hAnsi="宋体" w:cs="宋体" w:hint="eastAsia"/>
                <w:b/>
                <w:sz w:val="18"/>
                <w:szCs w:val="18"/>
              </w:rPr>
              <w:t>镍：</w:t>
            </w:r>
            <w:r w:rsidR="00537CE2" w:rsidRPr="00537CE2">
              <w:rPr>
                <w:rFonts w:ascii="宋体" w:hAnsi="宋体" w:cs="宋体" w:hint="eastAsia"/>
                <w:sz w:val="18"/>
                <w:szCs w:val="18"/>
              </w:rPr>
              <w:t>：高镍铁厂</w:t>
            </w:r>
            <w:proofErr w:type="gramStart"/>
            <w:r w:rsidR="00537CE2" w:rsidRPr="00537CE2">
              <w:rPr>
                <w:rFonts w:ascii="宋体" w:hAnsi="宋体" w:cs="宋体" w:hint="eastAsia"/>
                <w:sz w:val="18"/>
                <w:szCs w:val="18"/>
              </w:rPr>
              <w:t>挺</w:t>
            </w:r>
            <w:proofErr w:type="gramEnd"/>
            <w:r w:rsidR="00537CE2" w:rsidRPr="00537CE2">
              <w:rPr>
                <w:rFonts w:ascii="宋体" w:hAnsi="宋体" w:cs="宋体" w:hint="eastAsia"/>
                <w:sz w:val="18"/>
                <w:szCs w:val="18"/>
              </w:rPr>
              <w:t xml:space="preserve">价VS美元反弹  </w:t>
            </w:r>
            <w:proofErr w:type="gramStart"/>
            <w:r w:rsidR="00537CE2" w:rsidRPr="00537CE2">
              <w:rPr>
                <w:rFonts w:ascii="宋体" w:hAnsi="宋体" w:cs="宋体" w:hint="eastAsia"/>
                <w:sz w:val="18"/>
                <w:szCs w:val="18"/>
              </w:rPr>
              <w:t>沪镍低开</w:t>
            </w:r>
            <w:proofErr w:type="gramEnd"/>
            <w:r w:rsidR="00537CE2" w:rsidRPr="00537CE2">
              <w:rPr>
                <w:rFonts w:ascii="宋体" w:hAnsi="宋体" w:cs="宋体" w:hint="eastAsia"/>
                <w:sz w:val="18"/>
                <w:szCs w:val="18"/>
              </w:rPr>
              <w:t>回升</w:t>
            </w:r>
          </w:p>
          <w:p w:rsidR="00537CE2" w:rsidRPr="00537CE2" w:rsidRDefault="00537CE2" w:rsidP="00537CE2">
            <w:pPr>
              <w:rPr>
                <w:rFonts w:ascii="宋体" w:hAnsi="宋体" w:cs="宋体"/>
                <w:sz w:val="18"/>
                <w:szCs w:val="18"/>
              </w:rPr>
            </w:pPr>
            <w:r w:rsidRPr="00537CE2">
              <w:rPr>
                <w:rFonts w:ascii="宋体" w:hAnsi="宋体" w:cs="宋体" w:hint="eastAsia"/>
                <w:sz w:val="18"/>
                <w:szCs w:val="18"/>
              </w:rPr>
              <w:t>一方面，镍生铁</w:t>
            </w:r>
            <w:proofErr w:type="gramStart"/>
            <w:r w:rsidRPr="00537CE2">
              <w:rPr>
                <w:rFonts w:ascii="宋体" w:hAnsi="宋体" w:cs="宋体" w:hint="eastAsia"/>
                <w:sz w:val="18"/>
                <w:szCs w:val="18"/>
              </w:rPr>
              <w:t>对纯镍的</w:t>
            </w:r>
            <w:proofErr w:type="gramEnd"/>
            <w:r w:rsidRPr="00537CE2">
              <w:rPr>
                <w:rFonts w:ascii="宋体" w:hAnsi="宋体" w:cs="宋体" w:hint="eastAsia"/>
                <w:sz w:val="18"/>
                <w:szCs w:val="18"/>
              </w:rPr>
              <w:t>替代逐渐达到顶峰，拖累镍价的最大因素</w:t>
            </w:r>
            <w:proofErr w:type="gramStart"/>
            <w:r w:rsidRPr="00537CE2">
              <w:rPr>
                <w:rFonts w:ascii="宋体" w:hAnsi="宋体" w:cs="宋体" w:hint="eastAsia"/>
                <w:sz w:val="18"/>
                <w:szCs w:val="18"/>
              </w:rPr>
              <w:t>之一已</w:t>
            </w:r>
            <w:proofErr w:type="gramEnd"/>
            <w:r w:rsidRPr="00537CE2">
              <w:rPr>
                <w:rFonts w:ascii="宋体" w:hAnsi="宋体" w:cs="宋体" w:hint="eastAsia"/>
                <w:sz w:val="18"/>
                <w:szCs w:val="18"/>
              </w:rPr>
              <w:t>逐渐成为过去；另一方面，不锈钢在原生</w:t>
            </w:r>
            <w:proofErr w:type="gramStart"/>
            <w:r w:rsidRPr="00537CE2">
              <w:rPr>
                <w:rFonts w:ascii="宋体" w:hAnsi="宋体" w:cs="宋体" w:hint="eastAsia"/>
                <w:sz w:val="18"/>
                <w:szCs w:val="18"/>
              </w:rPr>
              <w:t>镍消费</w:t>
            </w:r>
            <w:proofErr w:type="gramEnd"/>
            <w:r w:rsidRPr="00537CE2">
              <w:rPr>
                <w:rFonts w:ascii="宋体" w:hAnsi="宋体" w:cs="宋体" w:hint="eastAsia"/>
                <w:sz w:val="18"/>
                <w:szCs w:val="18"/>
              </w:rPr>
              <w:t>中仍占据较多比例，对平衡表整体影响大；而新能源发展方兴未艾，关注新能源行业消费增速与硫酸</w:t>
            </w:r>
            <w:proofErr w:type="gramStart"/>
            <w:r w:rsidRPr="00537CE2">
              <w:rPr>
                <w:rFonts w:ascii="宋体" w:hAnsi="宋体" w:cs="宋体" w:hint="eastAsia"/>
                <w:sz w:val="18"/>
                <w:szCs w:val="18"/>
              </w:rPr>
              <w:t>镍供应</w:t>
            </w:r>
            <w:proofErr w:type="gramEnd"/>
            <w:r w:rsidRPr="00537CE2">
              <w:rPr>
                <w:rFonts w:ascii="宋体" w:hAnsi="宋体" w:cs="宋体" w:hint="eastAsia"/>
                <w:sz w:val="18"/>
                <w:szCs w:val="18"/>
              </w:rPr>
              <w:t>增速。</w:t>
            </w:r>
          </w:p>
          <w:p w:rsidR="00D70C06" w:rsidRPr="00537CE2" w:rsidRDefault="00537CE2" w:rsidP="00CF36E8">
            <w:pPr>
              <w:rPr>
                <w:rFonts w:ascii="宋体" w:hAnsi="宋体" w:cs="宋体"/>
                <w:sz w:val="18"/>
                <w:szCs w:val="18"/>
              </w:rPr>
            </w:pPr>
            <w:r w:rsidRPr="00537CE2">
              <w:rPr>
                <w:rFonts w:ascii="宋体" w:hAnsi="宋体" w:cs="宋体" w:hint="eastAsia"/>
                <w:sz w:val="18"/>
                <w:szCs w:val="18"/>
              </w:rPr>
              <w:t>关注菲律宾雨季即将结束后的供应情况、印尼镍生铁的供应增长前景、不锈钢与新能源汽车电池正极材料需求。</w:t>
            </w:r>
          </w:p>
        </w:tc>
      </w:tr>
      <w:tr w:rsidR="00CF6558">
        <w:trPr>
          <w:trHeight w:val="146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铝</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798"/>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锌</w:t>
            </w:r>
          </w:p>
        </w:tc>
        <w:tc>
          <w:tcPr>
            <w:tcW w:w="1123" w:type="dxa"/>
            <w:vAlign w:val="center"/>
          </w:tcPr>
          <w:p w:rsidR="00CF6558" w:rsidRPr="00340F7C" w:rsidRDefault="00653621">
            <w:pPr>
              <w:jc w:val="center"/>
              <w:rPr>
                <w:rFonts w:ascii="宋体" w:hAnsi="宋体" w:cs="宋体"/>
                <w:sz w:val="18"/>
                <w:szCs w:val="18"/>
              </w:rPr>
            </w:pPr>
            <w:r w:rsidRPr="00340F7C">
              <w:rPr>
                <w:rFonts w:ascii="宋体" w:hAnsi="宋体" w:cs="宋体" w:hint="eastAsia"/>
                <w:sz w:val="18"/>
                <w:szCs w:val="18"/>
              </w:rPr>
              <w:t>短线与中线多单谨慎持有</w:t>
            </w:r>
          </w:p>
        </w:tc>
        <w:tc>
          <w:tcPr>
            <w:tcW w:w="7380" w:type="dxa"/>
            <w:vMerge/>
          </w:tcPr>
          <w:p w:rsidR="00CF6558" w:rsidRDefault="00CF6558">
            <w:pPr>
              <w:rPr>
                <w:rFonts w:ascii="宋体" w:hAnsi="宋体" w:cs="宋体"/>
                <w:sz w:val="18"/>
                <w:szCs w:val="18"/>
              </w:rPr>
            </w:pPr>
          </w:p>
        </w:tc>
      </w:tr>
      <w:tr w:rsidR="00CF6558">
        <w:trPr>
          <w:trHeight w:val="181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铅</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短线与中线空单谨慎持有</w:t>
            </w:r>
          </w:p>
        </w:tc>
        <w:tc>
          <w:tcPr>
            <w:tcW w:w="7380" w:type="dxa"/>
            <w:vMerge/>
          </w:tcPr>
          <w:p w:rsidR="00CF6558" w:rsidRDefault="00CF6558">
            <w:pPr>
              <w:rPr>
                <w:rFonts w:ascii="宋体" w:hAnsi="宋体" w:cs="宋体"/>
                <w:sz w:val="18"/>
                <w:szCs w:val="18"/>
              </w:rPr>
            </w:pPr>
          </w:p>
        </w:tc>
      </w:tr>
      <w:tr w:rsidR="00CF6558">
        <w:trPr>
          <w:trHeight w:val="1593"/>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锡</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14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镍</w:t>
            </w:r>
          </w:p>
        </w:tc>
        <w:tc>
          <w:tcPr>
            <w:tcW w:w="1123" w:type="dxa"/>
            <w:vAlign w:val="center"/>
          </w:tcPr>
          <w:p w:rsidR="00CF6558" w:rsidRDefault="00653621">
            <w:pPr>
              <w:jc w:val="center"/>
              <w:rPr>
                <w:rFonts w:ascii="宋体" w:hAnsi="宋体"/>
                <w:kern w:val="0"/>
                <w:szCs w:val="21"/>
              </w:rPr>
            </w:pPr>
            <w:r>
              <w:rPr>
                <w:rFonts w:ascii="宋体" w:hAnsi="宋体" w:hint="eastAsia"/>
                <w:kern w:val="0"/>
                <w:szCs w:val="21"/>
              </w:rPr>
              <w:t>短线与中线观望</w:t>
            </w:r>
          </w:p>
        </w:tc>
        <w:tc>
          <w:tcPr>
            <w:tcW w:w="7380" w:type="dxa"/>
            <w:vMerge/>
          </w:tcPr>
          <w:p w:rsidR="00CF6558" w:rsidRDefault="00CF6558">
            <w:pPr>
              <w:rPr>
                <w:rFonts w:ascii="宋体" w:hAnsi="宋体" w:cs="宋体"/>
                <w:sz w:val="18"/>
                <w:szCs w:val="18"/>
              </w:rPr>
            </w:pPr>
          </w:p>
        </w:tc>
      </w:tr>
      <w:tr w:rsidR="00CF6558">
        <w:trPr>
          <w:trHeight w:val="617"/>
          <w:jc w:val="center"/>
        </w:trPr>
        <w:tc>
          <w:tcPr>
            <w:tcW w:w="630" w:type="dxa"/>
            <w:vMerge w:val="restart"/>
          </w:tcPr>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CF6558">
            <w:pP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农</w:t>
            </w:r>
          </w:p>
          <w:p w:rsidR="00CF6558" w:rsidRDefault="00653621">
            <w:pPr>
              <w:jc w:val="center"/>
              <w:rPr>
                <w:rFonts w:ascii="宋体" w:hAnsi="宋体"/>
                <w:b/>
                <w:sz w:val="24"/>
                <w:szCs w:val="21"/>
              </w:rPr>
            </w:pPr>
            <w:r>
              <w:rPr>
                <w:rFonts w:ascii="宋体" w:hAnsi="宋体" w:hint="eastAsia"/>
                <w:b/>
                <w:sz w:val="24"/>
                <w:szCs w:val="21"/>
              </w:rPr>
              <w:t>产</w:t>
            </w:r>
          </w:p>
          <w:p w:rsidR="00CF6558" w:rsidRDefault="00653621">
            <w:pPr>
              <w:jc w:val="center"/>
              <w:rPr>
                <w:rFonts w:ascii="宋体" w:hAnsi="宋体"/>
                <w:b/>
                <w:sz w:val="24"/>
                <w:szCs w:val="21"/>
              </w:rPr>
            </w:pPr>
            <w:r>
              <w:rPr>
                <w:rFonts w:ascii="宋体" w:hAnsi="宋体" w:hint="eastAsia"/>
                <w:b/>
                <w:sz w:val="24"/>
                <w:szCs w:val="21"/>
              </w:rPr>
              <w:t>品</w:t>
            </w:r>
          </w:p>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szCs w:val="21"/>
              </w:rPr>
            </w:pPr>
            <w:r>
              <w:rPr>
                <w:rFonts w:hint="eastAsia"/>
              </w:rPr>
              <w:t>震荡</w:t>
            </w:r>
          </w:p>
        </w:tc>
        <w:tc>
          <w:tcPr>
            <w:tcW w:w="7380" w:type="dxa"/>
            <w:vMerge w:val="restart"/>
          </w:tcPr>
          <w:p w:rsidR="00930431" w:rsidRDefault="00BA03B4" w:rsidP="00BA03B4">
            <w:pPr>
              <w:widowControl/>
              <w:jc w:val="left"/>
            </w:pPr>
            <w:proofErr w:type="gramStart"/>
            <w:r w:rsidRPr="00BA03B4">
              <w:rPr>
                <w:rFonts w:ascii="宋体" w:hAnsi="宋体" w:cs="宋体"/>
                <w:b/>
                <w:sz w:val="18"/>
                <w:szCs w:val="18"/>
              </w:rPr>
              <w:t>粕</w:t>
            </w:r>
            <w:proofErr w:type="gramEnd"/>
            <w:r w:rsidRPr="00BA03B4">
              <w:rPr>
                <w:rFonts w:ascii="宋体" w:hAnsi="宋体" w:cs="宋体"/>
                <w:b/>
                <w:sz w:val="18"/>
                <w:szCs w:val="18"/>
              </w:rPr>
              <w:t>：</w:t>
            </w:r>
            <w:r w:rsidR="00930431" w:rsidRPr="00930431">
              <w:rPr>
                <w:rFonts w:ascii="宋体" w:hAnsi="宋体" w:cs="宋体"/>
                <w:sz w:val="18"/>
                <w:szCs w:val="18"/>
              </w:rPr>
              <w:t>巴西大豆出口处于高峰期，但巴西遭受近一个世纪来的最严重干旱，影响河流运输，货物运输成本可能上升。</w:t>
            </w:r>
            <w:proofErr w:type="gramStart"/>
            <w:r w:rsidR="00930431" w:rsidRPr="00930431">
              <w:rPr>
                <w:rFonts w:ascii="宋体" w:hAnsi="宋体" w:cs="宋体"/>
                <w:sz w:val="18"/>
                <w:szCs w:val="18"/>
              </w:rPr>
              <w:t>美豆陈</w:t>
            </w:r>
            <w:proofErr w:type="gramEnd"/>
            <w:r w:rsidR="00930431" w:rsidRPr="00930431">
              <w:rPr>
                <w:rFonts w:ascii="宋体" w:hAnsi="宋体" w:cs="宋体"/>
                <w:sz w:val="18"/>
                <w:szCs w:val="18"/>
              </w:rPr>
              <w:t>作库存供应紧张，美国内</w:t>
            </w:r>
            <w:proofErr w:type="gramStart"/>
            <w:r w:rsidR="00930431" w:rsidRPr="00930431">
              <w:rPr>
                <w:rFonts w:ascii="宋体" w:hAnsi="宋体" w:cs="宋体"/>
                <w:sz w:val="18"/>
                <w:szCs w:val="18"/>
              </w:rPr>
              <w:t>压榨商</w:t>
            </w:r>
            <w:proofErr w:type="gramEnd"/>
            <w:r w:rsidR="00930431" w:rsidRPr="00930431">
              <w:rPr>
                <w:rFonts w:ascii="宋体" w:hAnsi="宋体" w:cs="宋体"/>
                <w:sz w:val="18"/>
                <w:szCs w:val="18"/>
              </w:rPr>
              <w:t>正在从巴西进口大豆以满足国内生产，天气对</w:t>
            </w:r>
            <w:proofErr w:type="gramStart"/>
            <w:r w:rsidR="00930431" w:rsidRPr="00930431">
              <w:rPr>
                <w:rFonts w:ascii="宋体" w:hAnsi="宋体" w:cs="宋体"/>
                <w:sz w:val="18"/>
                <w:szCs w:val="18"/>
              </w:rPr>
              <w:t>美豆价格</w:t>
            </w:r>
            <w:proofErr w:type="gramEnd"/>
            <w:r w:rsidR="00930431" w:rsidRPr="00930431">
              <w:rPr>
                <w:rFonts w:ascii="宋体" w:hAnsi="宋体" w:cs="宋体"/>
                <w:sz w:val="18"/>
                <w:szCs w:val="18"/>
              </w:rPr>
              <w:t>的涨跌较为敏感，</w:t>
            </w:r>
            <w:proofErr w:type="gramStart"/>
            <w:r w:rsidR="00930431" w:rsidRPr="00930431">
              <w:rPr>
                <w:rFonts w:ascii="宋体" w:hAnsi="宋体" w:cs="宋体"/>
                <w:sz w:val="18"/>
                <w:szCs w:val="18"/>
              </w:rPr>
              <w:t>美豆短期</w:t>
            </w:r>
            <w:proofErr w:type="gramEnd"/>
            <w:r w:rsidR="00930431" w:rsidRPr="00930431">
              <w:rPr>
                <w:rFonts w:ascii="宋体" w:hAnsi="宋体" w:cs="宋体"/>
                <w:sz w:val="18"/>
                <w:szCs w:val="18"/>
              </w:rPr>
              <w:t>震荡但趋势未改。国内大豆进口成本高企，到港大豆陆续增加，压榨利润有所修复，油厂开机率逐步提高，水产养殖需求恢复，生猪市场产能也在恢复进程中，但其他蛋白替代豆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的技术推广或使得豆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需求降低，预计豆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短期震荡。不过要注意大豆到港进度，豆</w:t>
            </w:r>
            <w:proofErr w:type="gramStart"/>
            <w:r w:rsidR="00930431" w:rsidRPr="00930431">
              <w:rPr>
                <w:rFonts w:ascii="宋体" w:hAnsi="宋体" w:cs="宋体"/>
                <w:sz w:val="18"/>
                <w:szCs w:val="18"/>
              </w:rPr>
              <w:t>粕</w:t>
            </w:r>
            <w:proofErr w:type="gramEnd"/>
            <w:r w:rsidR="00930431" w:rsidRPr="00930431">
              <w:rPr>
                <w:rFonts w:ascii="宋体" w:hAnsi="宋体" w:cs="宋体"/>
                <w:sz w:val="18"/>
                <w:szCs w:val="18"/>
              </w:rPr>
              <w:t>需求</w:t>
            </w:r>
            <w:proofErr w:type="gramStart"/>
            <w:r w:rsidR="00930431" w:rsidRPr="00930431">
              <w:rPr>
                <w:rFonts w:ascii="宋体" w:hAnsi="宋体" w:cs="宋体"/>
                <w:sz w:val="18"/>
                <w:szCs w:val="18"/>
              </w:rPr>
              <w:t>以及美豆生长期</w:t>
            </w:r>
            <w:proofErr w:type="gramEnd"/>
            <w:r w:rsidR="00930431" w:rsidRPr="00930431">
              <w:rPr>
                <w:rFonts w:ascii="宋体" w:hAnsi="宋体" w:cs="宋体"/>
                <w:sz w:val="18"/>
                <w:szCs w:val="18"/>
              </w:rPr>
              <w:t>天气等风险因素。</w:t>
            </w:r>
          </w:p>
          <w:p w:rsidR="00D70C06" w:rsidRPr="00D70C06" w:rsidRDefault="00BA03B4" w:rsidP="00BA03B4">
            <w:pPr>
              <w:widowControl/>
              <w:jc w:val="left"/>
              <w:rPr>
                <w:rFonts w:ascii="宋体" w:hAnsi="宋体" w:cs="宋体"/>
                <w:bCs/>
                <w:kern w:val="0"/>
                <w:sz w:val="18"/>
                <w:szCs w:val="18"/>
              </w:rPr>
            </w:pPr>
            <w:r w:rsidRPr="00BA03B4">
              <w:rPr>
                <w:rFonts w:ascii="宋体" w:hAnsi="宋体" w:cs="宋体"/>
                <w:b/>
                <w:sz w:val="18"/>
                <w:szCs w:val="18"/>
              </w:rPr>
              <w:t>油脂：</w:t>
            </w:r>
            <w:r w:rsidR="00930431" w:rsidRPr="00930431">
              <w:rPr>
                <w:rFonts w:ascii="宋体" w:hAnsi="宋体" w:cs="宋体"/>
                <w:sz w:val="18"/>
                <w:szCs w:val="18"/>
              </w:rPr>
              <w:t>马棕油进入季节性增产季，但受疫情影响，种植园劳工短缺持续，5月份马来西亚棕榈油产量下滑，再加上马棕油库存低位，均对棕榈油价格构成支撑。拜登新能源计划提升美国豆油消费。国内进口大豆成本高企，压榨利润有所修复，油厂的开机率逐渐提高，油脂供应增加，不过国内豆油库存仍处于低位，棕榈油进口利润好转，但市场供应压力有限，国内棕榈油库存地位，油脂震荡偏多，</w:t>
            </w:r>
            <w:proofErr w:type="gramStart"/>
            <w:r w:rsidR="00930431" w:rsidRPr="00930431">
              <w:rPr>
                <w:rFonts w:ascii="宋体" w:hAnsi="宋体" w:cs="宋体"/>
                <w:sz w:val="18"/>
                <w:szCs w:val="18"/>
              </w:rPr>
              <w:t>关注美豆产区</w:t>
            </w:r>
            <w:proofErr w:type="gramEnd"/>
            <w:r w:rsidR="00930431" w:rsidRPr="00930431">
              <w:rPr>
                <w:rFonts w:ascii="宋体" w:hAnsi="宋体" w:cs="宋体"/>
                <w:sz w:val="18"/>
                <w:szCs w:val="18"/>
              </w:rPr>
              <w:t>天气及东南亚棕榈油产销等不确定性风险因素。</w:t>
            </w:r>
          </w:p>
        </w:tc>
      </w:tr>
      <w:tr w:rsidR="00CF6558">
        <w:trPr>
          <w:trHeight w:val="456"/>
          <w:jc w:val="center"/>
        </w:trPr>
        <w:tc>
          <w:tcPr>
            <w:tcW w:w="630" w:type="dxa"/>
            <w:vMerge/>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w:t>
            </w:r>
            <w:proofErr w:type="gramStart"/>
            <w:r>
              <w:rPr>
                <w:rFonts w:ascii="宋体" w:hAnsi="宋体" w:hint="eastAsia"/>
                <w:szCs w:val="21"/>
              </w:rPr>
              <w:t>粕</w:t>
            </w:r>
            <w:proofErr w:type="gramEnd"/>
          </w:p>
        </w:tc>
        <w:tc>
          <w:tcPr>
            <w:tcW w:w="1123" w:type="dxa"/>
            <w:vAlign w:val="center"/>
          </w:tcPr>
          <w:p w:rsidR="00CF6558" w:rsidRDefault="00653621">
            <w:pPr>
              <w:jc w:val="center"/>
              <w:rPr>
                <w:rFonts w:ascii="宋体" w:hAnsi="宋体"/>
                <w:color w:val="000000"/>
                <w:szCs w:val="21"/>
              </w:rPr>
            </w:pPr>
            <w:r>
              <w:rPr>
                <w:rFonts w:hint="eastAsia"/>
              </w:rPr>
              <w:t>震荡</w:t>
            </w:r>
          </w:p>
        </w:tc>
        <w:tc>
          <w:tcPr>
            <w:tcW w:w="7380" w:type="dxa"/>
            <w:vMerge/>
          </w:tcPr>
          <w:p w:rsidR="00CF6558" w:rsidRDefault="00CF6558">
            <w:pPr>
              <w:widowControl/>
              <w:wordWrap w:val="0"/>
              <w:snapToGrid w:val="0"/>
              <w:jc w:val="left"/>
              <w:rPr>
                <w:rFonts w:ascii="宋体" w:hAnsi="宋体" w:cs="宋体"/>
                <w:kern w:val="0"/>
                <w:sz w:val="18"/>
                <w:szCs w:val="18"/>
              </w:rPr>
            </w:pPr>
          </w:p>
        </w:tc>
      </w:tr>
      <w:tr w:rsidR="00CF6558" w:rsidTr="00B40DFB">
        <w:trPr>
          <w:trHeight w:val="385"/>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t>豆</w:t>
            </w:r>
            <w:proofErr w:type="gramStart"/>
            <w:r>
              <w:t>一</w:t>
            </w:r>
            <w:proofErr w:type="gramEnd"/>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rsidTr="00B40DFB">
        <w:trPr>
          <w:trHeight w:val="396"/>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proofErr w:type="gramStart"/>
            <w:r>
              <w:t>豆二</w:t>
            </w:r>
            <w:proofErr w:type="gramEnd"/>
          </w:p>
        </w:tc>
        <w:tc>
          <w:tcPr>
            <w:tcW w:w="1123" w:type="dxa"/>
            <w:vAlign w:val="center"/>
          </w:tcPr>
          <w:p w:rsidR="00CF6558" w:rsidRDefault="00930431">
            <w:pPr>
              <w:jc w:val="center"/>
              <w:rPr>
                <w:rFonts w:ascii="宋体" w:hAnsi="宋体"/>
                <w:color w:val="000000"/>
                <w:szCs w:val="21"/>
              </w:rPr>
            </w:pPr>
            <w:r>
              <w:t>震荡偏多</w:t>
            </w:r>
          </w:p>
        </w:tc>
        <w:tc>
          <w:tcPr>
            <w:tcW w:w="7380" w:type="dxa"/>
            <w:vMerge/>
          </w:tcPr>
          <w:p w:rsidR="00CF6558" w:rsidRDefault="00CF6558">
            <w:pPr>
              <w:widowControl/>
              <w:rPr>
                <w:rFonts w:ascii="宋体" w:hAnsi="宋体" w:cs="宋体"/>
                <w:kern w:val="0"/>
                <w:sz w:val="18"/>
                <w:szCs w:val="18"/>
              </w:rPr>
            </w:pPr>
          </w:p>
        </w:tc>
      </w:tr>
      <w:tr w:rsidR="00CF6558" w:rsidTr="00B40DFB">
        <w:trPr>
          <w:trHeight w:val="557"/>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豆油</w:t>
            </w:r>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rsidTr="004F1A85">
        <w:trPr>
          <w:trHeight w:val="499"/>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棕榈油</w:t>
            </w:r>
          </w:p>
        </w:tc>
        <w:tc>
          <w:tcPr>
            <w:tcW w:w="1123" w:type="dxa"/>
            <w:vAlign w:val="center"/>
          </w:tcPr>
          <w:p w:rsidR="00CF6558" w:rsidRDefault="00930431" w:rsidP="004F1A85">
            <w:pPr>
              <w:jc w:val="center"/>
              <w:rPr>
                <w:rFonts w:ascii="宋体" w:hAnsi="宋体"/>
                <w:color w:val="000000"/>
                <w:szCs w:val="21"/>
              </w:rPr>
            </w:pPr>
            <w:r>
              <w:t>震荡偏多</w:t>
            </w:r>
          </w:p>
        </w:tc>
        <w:tc>
          <w:tcPr>
            <w:tcW w:w="7380" w:type="dxa"/>
            <w:vMerge/>
          </w:tcPr>
          <w:p w:rsidR="00CF6558" w:rsidRDefault="00CF6558">
            <w:pPr>
              <w:rPr>
                <w:rFonts w:ascii="宋体" w:hAnsi="宋体" w:cs="宋体"/>
                <w:kern w:val="0"/>
                <w:sz w:val="18"/>
                <w:szCs w:val="18"/>
              </w:rPr>
            </w:pPr>
          </w:p>
        </w:tc>
      </w:tr>
      <w:tr w:rsidR="00CF6558">
        <w:trPr>
          <w:trHeight w:val="90"/>
          <w:jc w:val="center"/>
        </w:trPr>
        <w:tc>
          <w:tcPr>
            <w:tcW w:w="630" w:type="dxa"/>
            <w:vMerge/>
            <w:vAlign w:val="center"/>
          </w:tcPr>
          <w:p w:rsidR="00CF6558" w:rsidRDefault="00CF6558">
            <w:pPr>
              <w:jc w:val="cente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菜油</w:t>
            </w:r>
          </w:p>
        </w:tc>
        <w:tc>
          <w:tcPr>
            <w:tcW w:w="1123" w:type="dxa"/>
            <w:vAlign w:val="center"/>
          </w:tcPr>
          <w:p w:rsidR="00CF6558" w:rsidRDefault="00930431" w:rsidP="004F1A85">
            <w:pPr>
              <w:jc w:val="center"/>
            </w:pPr>
            <w:r>
              <w:t>震荡偏多</w:t>
            </w:r>
          </w:p>
        </w:tc>
        <w:tc>
          <w:tcPr>
            <w:tcW w:w="7380" w:type="dxa"/>
            <w:vMerge/>
            <w:vAlign w:val="center"/>
          </w:tcPr>
          <w:p w:rsidR="00CF6558" w:rsidRDefault="00CF6558">
            <w:pPr>
              <w:rPr>
                <w:rFonts w:ascii="宋体" w:hAnsi="宋体" w:cs="宋体"/>
                <w:kern w:val="0"/>
                <w:sz w:val="18"/>
                <w:szCs w:val="18"/>
              </w:rPr>
            </w:pPr>
          </w:p>
        </w:tc>
      </w:tr>
      <w:tr w:rsidR="00CF6558" w:rsidTr="009F3CDD">
        <w:trPr>
          <w:trHeight w:val="562"/>
          <w:jc w:val="center"/>
        </w:trPr>
        <w:tc>
          <w:tcPr>
            <w:tcW w:w="630" w:type="dxa"/>
            <w:vMerge w:val="restart"/>
            <w:vAlign w:val="center"/>
          </w:tcPr>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CF6558">
            <w:pPr>
              <w:jc w:val="center"/>
              <w:rPr>
                <w:rFonts w:ascii="宋体" w:hAnsi="宋体"/>
                <w:b/>
                <w:sz w:val="24"/>
                <w:szCs w:val="21"/>
              </w:rPr>
            </w:pPr>
          </w:p>
          <w:p w:rsidR="00CF6558" w:rsidRDefault="00653621">
            <w:pPr>
              <w:jc w:val="center"/>
              <w:rPr>
                <w:rFonts w:ascii="宋体" w:hAnsi="宋体"/>
                <w:b/>
                <w:sz w:val="24"/>
                <w:szCs w:val="21"/>
              </w:rPr>
            </w:pPr>
            <w:r>
              <w:rPr>
                <w:rFonts w:ascii="宋体" w:hAnsi="宋体" w:hint="eastAsia"/>
                <w:b/>
                <w:sz w:val="24"/>
                <w:szCs w:val="21"/>
              </w:rPr>
              <w:t>能源化工品</w:t>
            </w:r>
          </w:p>
        </w:tc>
        <w:tc>
          <w:tcPr>
            <w:tcW w:w="924" w:type="dxa"/>
            <w:vAlign w:val="center"/>
          </w:tcPr>
          <w:p w:rsidR="00CF6558" w:rsidRDefault="00653621">
            <w:pPr>
              <w:jc w:val="center"/>
              <w:rPr>
                <w:rFonts w:ascii="宋体" w:hAnsi="宋体"/>
                <w:szCs w:val="21"/>
              </w:rPr>
            </w:pPr>
            <w:r>
              <w:rPr>
                <w:rFonts w:ascii="宋体" w:hAnsi="宋体" w:hint="eastAsia"/>
                <w:szCs w:val="21"/>
              </w:rPr>
              <w:lastRenderedPageBreak/>
              <w:t>PTA</w:t>
            </w:r>
          </w:p>
        </w:tc>
        <w:tc>
          <w:tcPr>
            <w:tcW w:w="1123" w:type="dxa"/>
            <w:vAlign w:val="center"/>
          </w:tcPr>
          <w:p w:rsidR="00CF6558" w:rsidRPr="00CB380A" w:rsidRDefault="00653621" w:rsidP="00D70C06">
            <w:pPr>
              <w:jc w:val="center"/>
            </w:pPr>
            <w:r>
              <w:t>震荡</w:t>
            </w:r>
          </w:p>
        </w:tc>
        <w:tc>
          <w:tcPr>
            <w:tcW w:w="7380" w:type="dxa"/>
            <w:vMerge w:val="restart"/>
          </w:tcPr>
          <w:p w:rsidR="00ED3265" w:rsidRDefault="002533D7" w:rsidP="00CB380A">
            <w:r w:rsidRPr="00CB380A">
              <w:rPr>
                <w:rFonts w:ascii="宋体" w:hAnsi="宋体" w:cs="宋体" w:hint="eastAsia"/>
                <w:b/>
                <w:bCs/>
                <w:sz w:val="18"/>
                <w:szCs w:val="18"/>
              </w:rPr>
              <w:t>PTA</w:t>
            </w:r>
            <w:r w:rsidRPr="00CB380A">
              <w:rPr>
                <w:rFonts w:ascii="宋体" w:hAnsi="宋体" w:cs="宋体" w:hint="eastAsia"/>
                <w:bCs/>
                <w:sz w:val="18"/>
                <w:szCs w:val="18"/>
              </w:rPr>
              <w:t>：</w:t>
            </w:r>
            <w:r w:rsidR="00ED3265">
              <w:t>油价驱动，炒作</w:t>
            </w:r>
            <w:r w:rsidR="00ED3265">
              <w:t>PTA</w:t>
            </w:r>
            <w:r w:rsidR="00ED3265">
              <w:t>弱预期延后，且装置开工低于</w:t>
            </w:r>
            <w:r w:rsidR="00ED3265">
              <w:t>80%</w:t>
            </w:r>
            <w:r w:rsidR="00ED3265">
              <w:t>，随着加工费突破</w:t>
            </w:r>
            <w:r w:rsidR="00ED3265">
              <w:lastRenderedPageBreak/>
              <w:t>600</w:t>
            </w:r>
            <w:r w:rsidR="00ED3265">
              <w:t>多，</w:t>
            </w:r>
            <w:r w:rsidR="00ED3265">
              <w:t>PTA</w:t>
            </w:r>
            <w:r w:rsidR="00ED3265">
              <w:t>社会库存再度累积，逢高空安全边际逐渐走高，现货成交一般，聚酯工厂产销羸弱。</w:t>
            </w:r>
            <w:r w:rsidR="00ED3265">
              <w:t>PTA</w:t>
            </w:r>
            <w:r w:rsidR="00ED3265">
              <w:t>多套装置重启、负荷缓慢提升中，但整体恢复速度不快。随着供应压力上来，需求走弱，基本面驱动中性偏下，成本</w:t>
            </w:r>
            <w:proofErr w:type="gramStart"/>
            <w:r w:rsidR="00ED3265">
              <w:t>驱动走</w:t>
            </w:r>
            <w:proofErr w:type="gramEnd"/>
            <w:r w:rsidR="00ED3265">
              <w:t>弱，适宜逢高空或价差空配。注意节奏，未来</w:t>
            </w:r>
            <w:r w:rsidR="00ED3265">
              <w:t>PTA</w:t>
            </w:r>
            <w:r w:rsidR="00ED3265">
              <w:t>向上</w:t>
            </w:r>
            <w:proofErr w:type="gramStart"/>
            <w:r w:rsidR="00ED3265">
              <w:t>驱动仍</w:t>
            </w:r>
            <w:proofErr w:type="gramEnd"/>
            <w:r w:rsidR="00ED3265">
              <w:t>靠油价。</w:t>
            </w:r>
          </w:p>
          <w:p w:rsidR="00CB380A" w:rsidRPr="00CB380A" w:rsidRDefault="002533D7" w:rsidP="00CB380A">
            <w:pPr>
              <w:rPr>
                <w:rFonts w:ascii="宋体" w:hAnsi="宋体" w:cs="宋体"/>
                <w:bCs/>
                <w:sz w:val="18"/>
                <w:szCs w:val="18"/>
              </w:rPr>
            </w:pPr>
            <w:r w:rsidRPr="00CB380A">
              <w:rPr>
                <w:rFonts w:ascii="宋体" w:hAnsi="宋体" w:cs="宋体" w:hint="eastAsia"/>
                <w:b/>
                <w:bCs/>
                <w:sz w:val="18"/>
                <w:szCs w:val="18"/>
              </w:rPr>
              <w:t>EG</w:t>
            </w:r>
            <w:r w:rsidRPr="00CB380A">
              <w:rPr>
                <w:rFonts w:ascii="宋体" w:hAnsi="宋体" w:cs="宋体" w:hint="eastAsia"/>
                <w:bCs/>
                <w:sz w:val="18"/>
                <w:szCs w:val="18"/>
              </w:rPr>
              <w:t>：</w:t>
            </w:r>
            <w:r w:rsidR="00ED3265">
              <w:t>当前新装置和国外装置恢复预期打得较足，港口仍未</w:t>
            </w:r>
            <w:proofErr w:type="gramStart"/>
            <w:r w:rsidR="00ED3265">
              <w:t>形成累库趋势</w:t>
            </w:r>
            <w:proofErr w:type="gramEnd"/>
            <w:r w:rsidR="00ED3265">
              <w:t>，同时弱预期力量不减，所以形成强底部、上方短。关注供应端变数，当前进口</w:t>
            </w:r>
            <w:proofErr w:type="gramStart"/>
            <w:r w:rsidR="00ED3265">
              <w:t>和煤企增量</w:t>
            </w:r>
            <w:proofErr w:type="gramEnd"/>
            <w:r w:rsidR="00ED3265">
              <w:t>压力不大，</w:t>
            </w:r>
            <w:r w:rsidR="00ED3265">
              <w:t>6</w:t>
            </w:r>
            <w:r w:rsidR="00ED3265">
              <w:t>月进口量预期仍在</w:t>
            </w:r>
            <w:r w:rsidR="00ED3265">
              <w:t>70</w:t>
            </w:r>
            <w:r w:rsidR="00ED3265">
              <w:t>万吨左右。</w:t>
            </w:r>
            <w:proofErr w:type="gramStart"/>
            <w:r w:rsidR="00ED3265">
              <w:t>双碳政策</w:t>
            </w:r>
            <w:proofErr w:type="gramEnd"/>
            <w:r w:rsidR="00ED3265">
              <w:t>对乙二醇的影响主要在</w:t>
            </w:r>
            <w:proofErr w:type="gramStart"/>
            <w:r w:rsidR="00ED3265">
              <w:t>煤企新</w:t>
            </w:r>
            <w:proofErr w:type="gramEnd"/>
            <w:r w:rsidR="00ED3265">
              <w:t>装置供应设限方面，当前已投产的情况来看，没有明显受限。进口量仍不是很多的情况下（国外装置恢复进度仍较慢，预计</w:t>
            </w:r>
            <w:r w:rsidR="00ED3265">
              <w:t>6</w:t>
            </w:r>
            <w:r w:rsidR="00ED3265">
              <w:t>月会很大改善），煤制负荷中性偏低，可继续逢低持有和</w:t>
            </w:r>
            <w:r w:rsidR="00ED3265">
              <w:t>TA</w:t>
            </w:r>
            <w:r w:rsidR="00ED3265">
              <w:t>价差，注意节奏，风险在于油价和煤</w:t>
            </w:r>
            <w:proofErr w:type="gramStart"/>
            <w:r w:rsidR="00ED3265">
              <w:t>企</w:t>
            </w:r>
            <w:proofErr w:type="gramEnd"/>
            <w:r w:rsidR="00ED3265">
              <w:t>。</w:t>
            </w:r>
          </w:p>
          <w:p w:rsidR="00537CE2" w:rsidRPr="00537CE2" w:rsidRDefault="00653621" w:rsidP="00537CE2">
            <w:pPr>
              <w:rPr>
                <w:rFonts w:ascii="宋体" w:hAnsi="宋体" w:cs="宋体"/>
                <w:bCs/>
                <w:sz w:val="18"/>
                <w:szCs w:val="18"/>
              </w:rPr>
            </w:pPr>
            <w:r w:rsidRPr="00CB380A">
              <w:rPr>
                <w:rFonts w:ascii="宋体" w:hAnsi="宋体" w:cs="宋体" w:hint="eastAsia"/>
                <w:b/>
                <w:bCs/>
                <w:sz w:val="18"/>
                <w:szCs w:val="18"/>
              </w:rPr>
              <w:t>原油</w:t>
            </w:r>
            <w:r w:rsidRPr="00CB380A">
              <w:rPr>
                <w:rFonts w:ascii="宋体" w:hAnsi="宋体" w:cs="宋体" w:hint="eastAsia"/>
                <w:bCs/>
                <w:sz w:val="18"/>
                <w:szCs w:val="18"/>
              </w:rPr>
              <w:t>：</w:t>
            </w:r>
            <w:r w:rsidR="00537CE2" w:rsidRPr="00537CE2">
              <w:rPr>
                <w:rFonts w:ascii="宋体" w:hAnsi="宋体" w:cs="宋体" w:hint="eastAsia"/>
                <w:bCs/>
                <w:sz w:val="18"/>
                <w:szCs w:val="18"/>
              </w:rPr>
              <w:t>美联储货币转向忧虑上升 EIA原油库存</w:t>
            </w:r>
            <w:proofErr w:type="gramStart"/>
            <w:r w:rsidR="00537CE2" w:rsidRPr="00537CE2">
              <w:rPr>
                <w:rFonts w:ascii="宋体" w:hAnsi="宋体" w:cs="宋体" w:hint="eastAsia"/>
                <w:bCs/>
                <w:sz w:val="18"/>
                <w:szCs w:val="18"/>
              </w:rPr>
              <w:t>降幅超</w:t>
            </w:r>
            <w:proofErr w:type="gramEnd"/>
            <w:r w:rsidR="00537CE2" w:rsidRPr="00537CE2">
              <w:rPr>
                <w:rFonts w:ascii="宋体" w:hAnsi="宋体" w:cs="宋体" w:hint="eastAsia"/>
                <w:bCs/>
                <w:sz w:val="18"/>
                <w:szCs w:val="18"/>
              </w:rPr>
              <w:t xml:space="preserve">预期   </w:t>
            </w:r>
            <w:proofErr w:type="gramStart"/>
            <w:r w:rsidR="00537CE2" w:rsidRPr="00537CE2">
              <w:rPr>
                <w:rFonts w:ascii="宋体" w:hAnsi="宋体" w:cs="宋体" w:hint="eastAsia"/>
                <w:bCs/>
                <w:sz w:val="18"/>
                <w:szCs w:val="18"/>
              </w:rPr>
              <w:t>沪油低开</w:t>
            </w:r>
            <w:proofErr w:type="gramEnd"/>
            <w:r w:rsidR="00537CE2" w:rsidRPr="00537CE2">
              <w:rPr>
                <w:rFonts w:ascii="宋体" w:hAnsi="宋体" w:cs="宋体" w:hint="eastAsia"/>
                <w:bCs/>
                <w:sz w:val="18"/>
                <w:szCs w:val="18"/>
              </w:rPr>
              <w:t>回升</w:t>
            </w:r>
          </w:p>
          <w:p w:rsidR="00537CE2" w:rsidRPr="00537CE2" w:rsidRDefault="00537CE2" w:rsidP="00537CE2">
            <w:pPr>
              <w:rPr>
                <w:rFonts w:ascii="宋体" w:hAnsi="宋体" w:cs="宋体"/>
                <w:bCs/>
                <w:sz w:val="18"/>
                <w:szCs w:val="18"/>
              </w:rPr>
            </w:pPr>
            <w:r w:rsidRPr="00537CE2">
              <w:rPr>
                <w:rFonts w:ascii="宋体" w:hAnsi="宋体" w:cs="宋体" w:hint="eastAsia"/>
                <w:bCs/>
                <w:sz w:val="18"/>
                <w:szCs w:val="18"/>
              </w:rPr>
              <w:t>目前疫情依然是拖累油价的主要因素，但美国原油库存下降，强化了市场对夏季驾车高峰期之前需求改善的预期，提振了油价，此外，当前油价主要依赖</w:t>
            </w:r>
            <w:proofErr w:type="gramStart"/>
            <w:r w:rsidRPr="00537CE2">
              <w:rPr>
                <w:rFonts w:ascii="宋体" w:hAnsi="宋体" w:cs="宋体" w:hint="eastAsia"/>
                <w:bCs/>
                <w:sz w:val="18"/>
                <w:szCs w:val="18"/>
              </w:rPr>
              <w:t>于伊核谈判</w:t>
            </w:r>
            <w:proofErr w:type="gramEnd"/>
            <w:r w:rsidRPr="00537CE2">
              <w:rPr>
                <w:rFonts w:ascii="宋体" w:hAnsi="宋体" w:cs="宋体" w:hint="eastAsia"/>
                <w:bCs/>
                <w:sz w:val="18"/>
                <w:szCs w:val="18"/>
              </w:rPr>
              <w:t>的结果，</w:t>
            </w:r>
            <w:proofErr w:type="gramStart"/>
            <w:r w:rsidRPr="00537CE2">
              <w:rPr>
                <w:rFonts w:ascii="宋体" w:hAnsi="宋体" w:cs="宋体" w:hint="eastAsia"/>
                <w:bCs/>
                <w:sz w:val="18"/>
                <w:szCs w:val="18"/>
              </w:rPr>
              <w:t>伊核谈判</w:t>
            </w:r>
            <w:proofErr w:type="gramEnd"/>
            <w:r w:rsidRPr="00537CE2">
              <w:rPr>
                <w:rFonts w:ascii="宋体" w:hAnsi="宋体" w:cs="宋体" w:hint="eastAsia"/>
                <w:bCs/>
                <w:sz w:val="18"/>
                <w:szCs w:val="18"/>
              </w:rPr>
              <w:t>虽取得进展但还存在一些不确定性。</w:t>
            </w:r>
          </w:p>
          <w:p w:rsidR="00CF6558" w:rsidRPr="00CB380A" w:rsidRDefault="00537CE2" w:rsidP="00537CE2">
            <w:pPr>
              <w:widowControl/>
              <w:jc w:val="left"/>
            </w:pPr>
            <w:r w:rsidRPr="00537CE2">
              <w:rPr>
                <w:rFonts w:ascii="宋体" w:hAnsi="宋体" w:cs="宋体" w:hint="eastAsia"/>
                <w:bCs/>
                <w:sz w:val="18"/>
                <w:szCs w:val="18"/>
              </w:rPr>
              <w:t>关注</w:t>
            </w:r>
            <w:proofErr w:type="gramStart"/>
            <w:r w:rsidRPr="00537CE2">
              <w:rPr>
                <w:rFonts w:ascii="宋体" w:hAnsi="宋体" w:cs="宋体" w:hint="eastAsia"/>
                <w:bCs/>
                <w:sz w:val="18"/>
                <w:szCs w:val="18"/>
              </w:rPr>
              <w:t>情反弹</w:t>
            </w:r>
            <w:proofErr w:type="gramEnd"/>
            <w:r w:rsidRPr="00537CE2">
              <w:rPr>
                <w:rFonts w:ascii="宋体" w:hAnsi="宋体" w:cs="宋体" w:hint="eastAsia"/>
                <w:bCs/>
                <w:sz w:val="18"/>
                <w:szCs w:val="18"/>
              </w:rPr>
              <w:t>下的全球经济前景、全球原油供需前景、中国经济的复苏前景、中东地缘形势、OPEC+会议、美国炼油厂产能恢复情况</w:t>
            </w:r>
          </w:p>
        </w:tc>
      </w:tr>
      <w:tr w:rsidR="00CF6558" w:rsidTr="009F3CDD">
        <w:trPr>
          <w:trHeight w:val="401"/>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EG</w:t>
            </w:r>
          </w:p>
        </w:tc>
        <w:tc>
          <w:tcPr>
            <w:tcW w:w="1123" w:type="dxa"/>
            <w:vAlign w:val="center"/>
          </w:tcPr>
          <w:p w:rsidR="00CF6558" w:rsidRPr="00CB380A" w:rsidRDefault="00653621" w:rsidP="00D70C06">
            <w:pPr>
              <w:jc w:val="center"/>
            </w:pPr>
            <w:r>
              <w:t>震荡</w:t>
            </w:r>
          </w:p>
        </w:tc>
        <w:tc>
          <w:tcPr>
            <w:tcW w:w="7380" w:type="dxa"/>
            <w:vMerge/>
            <w:vAlign w:val="center"/>
          </w:tcPr>
          <w:p w:rsidR="00CF6558" w:rsidRPr="00CB380A" w:rsidRDefault="00CF6558"/>
        </w:tc>
      </w:tr>
      <w:tr w:rsidR="00CF6558" w:rsidTr="009F3CDD">
        <w:trPr>
          <w:trHeight w:val="55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原油</w:t>
            </w:r>
          </w:p>
        </w:tc>
        <w:tc>
          <w:tcPr>
            <w:tcW w:w="1123" w:type="dxa"/>
            <w:vAlign w:val="center"/>
          </w:tcPr>
          <w:p w:rsidR="00CF6558" w:rsidRDefault="00653621">
            <w:pPr>
              <w:jc w:val="center"/>
            </w:pPr>
            <w:r>
              <w:rPr>
                <w:rFonts w:hint="eastAsia"/>
              </w:rPr>
              <w:t>短线空单持有</w:t>
            </w:r>
          </w:p>
        </w:tc>
        <w:tc>
          <w:tcPr>
            <w:tcW w:w="7380" w:type="dxa"/>
            <w:vMerge/>
            <w:vAlign w:val="center"/>
          </w:tcPr>
          <w:p w:rsidR="00CF6558" w:rsidRPr="00CB380A" w:rsidRDefault="00CF6558"/>
        </w:tc>
      </w:tr>
      <w:tr w:rsidR="00CF6558" w:rsidTr="00104F4D">
        <w:trPr>
          <w:trHeight w:val="627"/>
          <w:jc w:val="center"/>
        </w:trPr>
        <w:tc>
          <w:tcPr>
            <w:tcW w:w="630" w:type="dxa"/>
            <w:vMerge/>
            <w:vAlign w:val="center"/>
          </w:tcPr>
          <w:p w:rsidR="00CF6558" w:rsidRDefault="00CF6558">
            <w:pPr>
              <w:rPr>
                <w:rFonts w:ascii="宋体" w:hAnsi="宋体"/>
                <w:b/>
                <w:sz w:val="24"/>
                <w:szCs w:val="21"/>
              </w:rPr>
            </w:pPr>
          </w:p>
        </w:tc>
        <w:tc>
          <w:tcPr>
            <w:tcW w:w="924" w:type="dxa"/>
            <w:vAlign w:val="center"/>
          </w:tcPr>
          <w:p w:rsidR="00CF6558" w:rsidRDefault="00653621">
            <w:pPr>
              <w:jc w:val="center"/>
              <w:rPr>
                <w:rFonts w:ascii="宋体" w:hAnsi="宋体"/>
                <w:szCs w:val="21"/>
              </w:rPr>
            </w:pPr>
            <w:r>
              <w:rPr>
                <w:rFonts w:ascii="宋体" w:hAnsi="宋体" w:hint="eastAsia"/>
                <w:szCs w:val="21"/>
              </w:rPr>
              <w:t>沥青</w:t>
            </w:r>
          </w:p>
        </w:tc>
        <w:tc>
          <w:tcPr>
            <w:tcW w:w="1123" w:type="dxa"/>
            <w:vAlign w:val="center"/>
          </w:tcPr>
          <w:p w:rsidR="00CF6558" w:rsidRDefault="00653621">
            <w:pPr>
              <w:jc w:val="center"/>
            </w:pPr>
            <w:r>
              <w:rPr>
                <w:rFonts w:hint="eastAsia"/>
              </w:rPr>
              <w:t>观望</w:t>
            </w:r>
          </w:p>
        </w:tc>
        <w:tc>
          <w:tcPr>
            <w:tcW w:w="7380" w:type="dxa"/>
            <w:vMerge/>
            <w:vAlign w:val="center"/>
          </w:tcPr>
          <w:p w:rsidR="00CF6558" w:rsidRDefault="00CF6558">
            <w:pPr>
              <w:rPr>
                <w:rFonts w:ascii="宋体" w:hAnsi="宋体" w:cs="宋体"/>
                <w:kern w:val="0"/>
                <w:sz w:val="18"/>
                <w:szCs w:val="18"/>
              </w:rPr>
            </w:pPr>
          </w:p>
        </w:tc>
      </w:tr>
      <w:tr w:rsidR="00CF6558">
        <w:trPr>
          <w:trHeight w:val="3018"/>
          <w:jc w:val="center"/>
        </w:trPr>
        <w:tc>
          <w:tcPr>
            <w:tcW w:w="630" w:type="dxa"/>
            <w:vMerge w:val="restart"/>
            <w:vAlign w:val="center"/>
          </w:tcPr>
          <w:p w:rsidR="00CF6558" w:rsidRDefault="00653621">
            <w:pPr>
              <w:rPr>
                <w:rFonts w:ascii="宋体" w:hAnsi="宋体"/>
                <w:b/>
                <w:sz w:val="24"/>
                <w:szCs w:val="21"/>
              </w:rPr>
            </w:pPr>
            <w:proofErr w:type="gramStart"/>
            <w:r>
              <w:rPr>
                <w:rFonts w:ascii="宋体" w:hAnsi="宋体" w:hint="eastAsia"/>
                <w:b/>
                <w:sz w:val="24"/>
                <w:szCs w:val="21"/>
              </w:rPr>
              <w:t>软商品</w:t>
            </w:r>
            <w:proofErr w:type="gramEnd"/>
          </w:p>
        </w:tc>
        <w:tc>
          <w:tcPr>
            <w:tcW w:w="924" w:type="dxa"/>
            <w:vAlign w:val="center"/>
          </w:tcPr>
          <w:p w:rsidR="00CF6558" w:rsidRDefault="00653621">
            <w:pPr>
              <w:jc w:val="center"/>
              <w:rPr>
                <w:rFonts w:ascii="宋体" w:hAnsi="宋体"/>
                <w:szCs w:val="21"/>
              </w:rPr>
            </w:pPr>
            <w:r>
              <w:rPr>
                <w:rFonts w:ascii="宋体" w:hAnsi="宋体" w:hint="eastAsia"/>
                <w:szCs w:val="21"/>
              </w:rPr>
              <w:t>棉花</w:t>
            </w:r>
          </w:p>
        </w:tc>
        <w:tc>
          <w:tcPr>
            <w:tcW w:w="1123" w:type="dxa"/>
            <w:vAlign w:val="center"/>
          </w:tcPr>
          <w:p w:rsidR="00CF6558" w:rsidRDefault="00625BA0" w:rsidP="001806BA">
            <w:pPr>
              <w:jc w:val="center"/>
            </w:pPr>
            <w:r>
              <w:rPr>
                <w:rFonts w:hint="eastAsia"/>
              </w:rPr>
              <w:t>震荡</w:t>
            </w:r>
            <w:r w:rsidR="000D5F2D">
              <w:rPr>
                <w:rFonts w:hint="eastAsia"/>
              </w:rPr>
              <w:t>走高</w:t>
            </w:r>
          </w:p>
        </w:tc>
        <w:tc>
          <w:tcPr>
            <w:tcW w:w="7380" w:type="dxa"/>
            <w:vMerge w:val="restart"/>
            <w:vAlign w:val="center"/>
          </w:tcPr>
          <w:p w:rsidR="00953C5E" w:rsidRPr="00FB623F" w:rsidRDefault="00953C5E" w:rsidP="00953C5E">
            <w:pPr>
              <w:rPr>
                <w:rFonts w:ascii="宋体" w:hAnsi="宋体" w:cs="宋体" w:hint="eastAsia"/>
                <w:bCs/>
                <w:sz w:val="18"/>
                <w:szCs w:val="18"/>
              </w:rPr>
            </w:pPr>
            <w:r>
              <w:rPr>
                <w:rFonts w:ascii="宋体" w:hAnsi="宋体" w:cs="宋体" w:hint="eastAsia"/>
                <w:b/>
                <w:sz w:val="18"/>
                <w:szCs w:val="18"/>
              </w:rPr>
              <w:t>棉花：</w:t>
            </w:r>
            <w:r w:rsidRPr="00FB623F">
              <w:rPr>
                <w:rFonts w:ascii="宋体" w:hAnsi="宋体" w:cs="宋体" w:hint="eastAsia"/>
                <w:bCs/>
                <w:sz w:val="18"/>
                <w:szCs w:val="18"/>
              </w:rPr>
              <w:t>一周以来，郑棉触底反弹、震荡走高，有望摆脱低位盘整形态，再次挑战新高。虽然宏观面驱动减弱，但自身基本面良好。</w:t>
            </w:r>
          </w:p>
          <w:p w:rsidR="00953C5E" w:rsidRPr="00FB623F" w:rsidRDefault="00953C5E" w:rsidP="00953C5E">
            <w:pPr>
              <w:rPr>
                <w:rFonts w:ascii="宋体" w:hAnsi="宋体" w:cs="宋体" w:hint="eastAsia"/>
                <w:bCs/>
                <w:sz w:val="18"/>
                <w:szCs w:val="18"/>
              </w:rPr>
            </w:pPr>
            <w:r w:rsidRPr="00FB623F">
              <w:rPr>
                <w:rFonts w:ascii="宋体" w:hAnsi="宋体" w:cs="宋体" w:hint="eastAsia"/>
                <w:bCs/>
                <w:sz w:val="18"/>
                <w:szCs w:val="18"/>
              </w:rPr>
              <w:t>日前央行官员表态人民币升值过快、可能已经出现超调，提高外汇存款准备金率有助于缓解人民币升值</w:t>
            </w:r>
            <w:proofErr w:type="gramStart"/>
            <w:r w:rsidRPr="00FB623F">
              <w:rPr>
                <w:rFonts w:ascii="宋体" w:hAnsi="宋体" w:cs="宋体" w:hint="eastAsia"/>
                <w:bCs/>
                <w:sz w:val="18"/>
                <w:szCs w:val="18"/>
              </w:rPr>
              <w:t>对纺服出口</w:t>
            </w:r>
            <w:proofErr w:type="gramEnd"/>
            <w:r w:rsidRPr="00FB623F">
              <w:rPr>
                <w:rFonts w:ascii="宋体" w:hAnsi="宋体" w:cs="宋体" w:hint="eastAsia"/>
                <w:bCs/>
                <w:sz w:val="18"/>
                <w:szCs w:val="18"/>
              </w:rPr>
              <w:t>的压力；东南亚疫情集中爆发，外贸订单二、三季度继续回流的可能性较大。</w:t>
            </w:r>
          </w:p>
          <w:p w:rsidR="00953C5E" w:rsidRPr="00FB623F" w:rsidRDefault="00953C5E" w:rsidP="00953C5E">
            <w:pPr>
              <w:rPr>
                <w:rFonts w:ascii="宋体" w:hAnsi="宋体" w:cs="宋体" w:hint="eastAsia"/>
                <w:bCs/>
                <w:sz w:val="18"/>
                <w:szCs w:val="18"/>
              </w:rPr>
            </w:pPr>
            <w:r w:rsidRPr="00FB623F">
              <w:rPr>
                <w:rFonts w:ascii="宋体" w:hAnsi="宋体" w:cs="宋体" w:hint="eastAsia"/>
                <w:bCs/>
                <w:sz w:val="18"/>
                <w:szCs w:val="18"/>
              </w:rPr>
              <w:t>全球经济处在恢复过程中，国内整体需求、市场心态尚可，企业接单仍很顺畅，</w:t>
            </w:r>
          </w:p>
          <w:p w:rsidR="00953C5E" w:rsidRPr="00FB623F" w:rsidRDefault="00953C5E" w:rsidP="00953C5E">
            <w:pPr>
              <w:rPr>
                <w:rFonts w:ascii="宋体" w:hAnsi="宋体" w:cs="宋体" w:hint="eastAsia"/>
                <w:bCs/>
                <w:sz w:val="18"/>
                <w:szCs w:val="18"/>
              </w:rPr>
            </w:pPr>
            <w:r w:rsidRPr="00FB623F">
              <w:rPr>
                <w:rFonts w:ascii="宋体" w:hAnsi="宋体" w:cs="宋体" w:hint="eastAsia"/>
                <w:bCs/>
                <w:sz w:val="18"/>
                <w:szCs w:val="18"/>
              </w:rPr>
              <w:t>旺盛的消费直接导致了低库存，下游具有补库潜力。</w:t>
            </w:r>
          </w:p>
          <w:p w:rsidR="00953C5E" w:rsidRDefault="00953C5E" w:rsidP="00953C5E">
            <w:pPr>
              <w:rPr>
                <w:rFonts w:ascii="宋体" w:hAnsi="宋体" w:cs="宋体"/>
                <w:bCs/>
                <w:sz w:val="18"/>
                <w:szCs w:val="18"/>
              </w:rPr>
            </w:pPr>
            <w:r w:rsidRPr="00FB623F">
              <w:rPr>
                <w:rFonts w:ascii="宋体" w:hAnsi="宋体" w:cs="宋体" w:hint="eastAsia"/>
                <w:bCs/>
                <w:sz w:val="18"/>
                <w:szCs w:val="18"/>
              </w:rPr>
              <w:t>需求恢复的同时，全球新年度棉花产出仍存变数，美</w:t>
            </w:r>
            <w:proofErr w:type="gramStart"/>
            <w:r w:rsidRPr="00FB623F">
              <w:rPr>
                <w:rFonts w:ascii="宋体" w:hAnsi="宋体" w:cs="宋体" w:hint="eastAsia"/>
                <w:bCs/>
                <w:sz w:val="18"/>
                <w:szCs w:val="18"/>
              </w:rPr>
              <w:t>棉差苗率远高去年</w:t>
            </w:r>
            <w:proofErr w:type="gramEnd"/>
            <w:r w:rsidRPr="00FB623F">
              <w:rPr>
                <w:rFonts w:ascii="宋体" w:hAnsi="宋体" w:cs="宋体" w:hint="eastAsia"/>
                <w:bCs/>
                <w:sz w:val="18"/>
                <w:szCs w:val="18"/>
              </w:rPr>
              <w:t>同期，新疆播种期天气异常也给后期产量带来潜在影响，盘面存在天气炒作机会。</w:t>
            </w:r>
          </w:p>
          <w:p w:rsidR="00953C5E" w:rsidRPr="00FB623F" w:rsidRDefault="00953C5E" w:rsidP="00953C5E">
            <w:pPr>
              <w:rPr>
                <w:rFonts w:ascii="宋体" w:hAnsi="宋体" w:cs="宋体" w:hint="eastAsia"/>
                <w:sz w:val="18"/>
                <w:szCs w:val="18"/>
              </w:rPr>
            </w:pPr>
            <w:r>
              <w:rPr>
                <w:rFonts w:ascii="宋体" w:hAnsi="宋体" w:cs="宋体" w:hint="eastAsia"/>
                <w:b/>
                <w:bCs/>
                <w:sz w:val="18"/>
                <w:szCs w:val="18"/>
              </w:rPr>
              <w:t>橡胶：</w:t>
            </w:r>
            <w:r w:rsidRPr="00FB623F">
              <w:rPr>
                <w:rFonts w:ascii="宋体" w:hAnsi="宋体" w:cs="宋体" w:hint="eastAsia"/>
                <w:sz w:val="18"/>
                <w:szCs w:val="18"/>
              </w:rPr>
              <w:t>胶价回落至13000整数位后得到支撑，期价略有企稳，目前仍受到线系统压制。整体基本面呈现</w:t>
            </w:r>
            <w:proofErr w:type="gramStart"/>
            <w:r w:rsidRPr="00FB623F">
              <w:rPr>
                <w:rFonts w:ascii="宋体" w:hAnsi="宋体" w:cs="宋体" w:hint="eastAsia"/>
                <w:sz w:val="18"/>
                <w:szCs w:val="18"/>
              </w:rPr>
              <w:t>供需两弱格局</w:t>
            </w:r>
            <w:proofErr w:type="gramEnd"/>
            <w:r w:rsidRPr="00FB623F">
              <w:rPr>
                <w:rFonts w:ascii="宋体" w:hAnsi="宋体" w:cs="宋体" w:hint="eastAsia"/>
                <w:sz w:val="18"/>
                <w:szCs w:val="18"/>
              </w:rPr>
              <w:t>，预计期价还将维持区间弱势运行格局。</w:t>
            </w:r>
          </w:p>
          <w:p w:rsidR="00CF6558" w:rsidRPr="00BD5563" w:rsidRDefault="00953C5E" w:rsidP="00953C5E">
            <w:pPr>
              <w:rPr>
                <w:rFonts w:ascii="宋体" w:hAnsi="宋体" w:cs="宋体"/>
                <w:sz w:val="18"/>
                <w:szCs w:val="18"/>
              </w:rPr>
            </w:pPr>
            <w:r w:rsidRPr="00FB623F">
              <w:rPr>
                <w:rFonts w:ascii="宋体" w:hAnsi="宋体" w:cs="宋体" w:hint="eastAsia"/>
                <w:sz w:val="18"/>
                <w:szCs w:val="18"/>
              </w:rPr>
              <w:t>需求端，内销出货缓慢，外销则受国际航运费用上升和货柜紧缺问题影响，导致轮胎厂开工负荷继续下跌，5月车市数据预计会全面下降，这种需求减弱格局将维持数月。进入二、三季度全球天然橡胶产量性增产季节，新胶水价格有所下调，供应端压力预期加大是肯定的，后期橡胶供给提升预期较强对胶价形成打压。目前泰国橡胶生产受影响不大，仍然生产以新鲜乳胶为原料的橡胶，包括许多橡胶手套公司；国内海南产区国营厂原料胶水收购价至12500-12700元/吨（</w:t>
            </w:r>
            <w:proofErr w:type="gramStart"/>
            <w:r w:rsidRPr="00FB623F">
              <w:rPr>
                <w:rFonts w:ascii="宋体" w:hAnsi="宋体" w:cs="宋体" w:hint="eastAsia"/>
                <w:sz w:val="18"/>
                <w:szCs w:val="18"/>
              </w:rPr>
              <w:t>制浓乳</w:t>
            </w:r>
            <w:proofErr w:type="gramEnd"/>
            <w:r w:rsidRPr="00FB623F">
              <w:rPr>
                <w:rFonts w:ascii="宋体" w:hAnsi="宋体" w:cs="宋体" w:hint="eastAsia"/>
                <w:sz w:val="18"/>
                <w:szCs w:val="18"/>
              </w:rPr>
              <w:t>），较上周下跌1300元/吨。</w:t>
            </w:r>
          </w:p>
        </w:tc>
      </w:tr>
      <w:tr w:rsidR="00CF6558">
        <w:trPr>
          <w:trHeight w:val="90"/>
          <w:jc w:val="center"/>
        </w:trPr>
        <w:tc>
          <w:tcPr>
            <w:tcW w:w="630" w:type="dxa"/>
            <w:vMerge/>
            <w:vAlign w:val="center"/>
          </w:tcPr>
          <w:p w:rsidR="00CF6558" w:rsidRDefault="00CF6558"/>
        </w:tc>
        <w:tc>
          <w:tcPr>
            <w:tcW w:w="924" w:type="dxa"/>
            <w:vAlign w:val="center"/>
          </w:tcPr>
          <w:p w:rsidR="00CF6558" w:rsidRDefault="00653621">
            <w:pPr>
              <w:jc w:val="center"/>
            </w:pPr>
            <w:r>
              <w:t>橡胶</w:t>
            </w:r>
          </w:p>
        </w:tc>
        <w:tc>
          <w:tcPr>
            <w:tcW w:w="1123" w:type="dxa"/>
            <w:vAlign w:val="center"/>
          </w:tcPr>
          <w:p w:rsidR="00CF6558" w:rsidRDefault="00653621" w:rsidP="00670288">
            <w:pPr>
              <w:jc w:val="center"/>
            </w:pPr>
            <w:r>
              <w:rPr>
                <w:rFonts w:hint="eastAsia"/>
              </w:rPr>
              <w:t>震荡</w:t>
            </w:r>
            <w:r w:rsidR="00E31876">
              <w:rPr>
                <w:rFonts w:hint="eastAsia"/>
              </w:rPr>
              <w:t>回落</w:t>
            </w:r>
          </w:p>
        </w:tc>
        <w:tc>
          <w:tcPr>
            <w:tcW w:w="7380" w:type="dxa"/>
            <w:vMerge/>
            <w:vAlign w:val="center"/>
          </w:tcPr>
          <w:p w:rsidR="00CF6558" w:rsidRDefault="00CF6558">
            <w:pPr>
              <w:rPr>
                <w:rFonts w:ascii="宋体" w:hAnsi="宋体" w:cs="宋体"/>
                <w:sz w:val="18"/>
                <w:szCs w:val="18"/>
              </w:rPr>
            </w:pPr>
          </w:p>
        </w:tc>
      </w:tr>
      <w:tr w:rsidR="00CF6558">
        <w:trPr>
          <w:trHeight w:val="420"/>
          <w:jc w:val="center"/>
        </w:trPr>
        <w:tc>
          <w:tcPr>
            <w:tcW w:w="630" w:type="dxa"/>
            <w:vAlign w:val="center"/>
          </w:tcPr>
          <w:p w:rsidR="00CF6558" w:rsidRDefault="00653621">
            <w:r>
              <w:rPr>
                <w:rFonts w:ascii="宋体" w:hAnsi="宋体" w:hint="eastAsia"/>
                <w:b/>
                <w:sz w:val="24"/>
                <w:szCs w:val="21"/>
              </w:rPr>
              <w:t>金融</w:t>
            </w:r>
          </w:p>
        </w:tc>
        <w:tc>
          <w:tcPr>
            <w:tcW w:w="924" w:type="dxa"/>
            <w:vAlign w:val="center"/>
          </w:tcPr>
          <w:p w:rsidR="00CF6558" w:rsidRDefault="0065362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50" w:left="105"/>
              <w:jc w:val="left"/>
              <w:rPr>
                <w:rFonts w:ascii="inherit" w:hAnsi="inherit" w:cs="宋体" w:hint="eastAsia"/>
                <w:color w:val="000000"/>
                <w:kern w:val="0"/>
                <w:szCs w:val="21"/>
              </w:rPr>
            </w:pPr>
            <w:r>
              <w:rPr>
                <w:rFonts w:ascii="inherit" w:hAnsi="inherit" w:cs="宋体"/>
                <w:color w:val="000000"/>
                <w:kern w:val="0"/>
                <w:szCs w:val="21"/>
              </w:rPr>
              <w:t>沪深</w:t>
            </w:r>
            <w:r>
              <w:rPr>
                <w:rFonts w:ascii="inherit" w:hAnsi="inherit" w:cs="宋体"/>
                <w:color w:val="000000"/>
                <w:kern w:val="0"/>
                <w:szCs w:val="21"/>
              </w:rPr>
              <w:t>300</w:t>
            </w:r>
          </w:p>
          <w:p w:rsidR="00CF6558" w:rsidRDefault="00CF6558">
            <w:pPr>
              <w:jc w:val="center"/>
            </w:pPr>
          </w:p>
        </w:tc>
        <w:tc>
          <w:tcPr>
            <w:tcW w:w="1123" w:type="dxa"/>
            <w:vAlign w:val="center"/>
          </w:tcPr>
          <w:p w:rsidR="00CF6558" w:rsidRDefault="00653621">
            <w:pPr>
              <w:jc w:val="center"/>
            </w:pPr>
            <w:r>
              <w:rPr>
                <w:rFonts w:hint="eastAsia"/>
              </w:rPr>
              <w:t>宽幅震荡</w:t>
            </w:r>
          </w:p>
        </w:tc>
        <w:tc>
          <w:tcPr>
            <w:tcW w:w="7380" w:type="dxa"/>
            <w:vAlign w:val="center"/>
          </w:tcPr>
          <w:p w:rsidR="00CF6558" w:rsidRDefault="00537CE2">
            <w:pPr>
              <w:spacing w:line="276" w:lineRule="auto"/>
              <w:rPr>
                <w:rFonts w:ascii="宋体" w:hAnsi="宋体" w:cs="宋体"/>
                <w:sz w:val="18"/>
                <w:szCs w:val="18"/>
              </w:rPr>
            </w:pPr>
            <w:r>
              <w:rPr>
                <w:rFonts w:ascii="宋体" w:hAnsi="宋体" w:cs="宋体" w:hint="eastAsia"/>
                <w:sz w:val="18"/>
                <w:szCs w:val="18"/>
              </w:rPr>
              <w:t>上周</w:t>
            </w:r>
            <w:r w:rsidRPr="00537CE2">
              <w:rPr>
                <w:rFonts w:ascii="宋体" w:hAnsi="宋体" w:cs="宋体" w:hint="eastAsia"/>
                <w:sz w:val="18"/>
                <w:szCs w:val="18"/>
              </w:rPr>
              <w:t>IF主力合约结算价下跌0.74%，IH主力合约结算价下跌1.05%，IC主力合约结算价上涨0.13%。IF主力合约</w:t>
            </w:r>
            <w:proofErr w:type="gramStart"/>
            <w:r w:rsidRPr="00537CE2">
              <w:rPr>
                <w:rFonts w:ascii="宋体" w:hAnsi="宋体" w:cs="宋体" w:hint="eastAsia"/>
                <w:sz w:val="18"/>
                <w:szCs w:val="18"/>
              </w:rPr>
              <w:t>基差反弹</w:t>
            </w:r>
            <w:proofErr w:type="gramEnd"/>
            <w:r w:rsidRPr="00537CE2">
              <w:rPr>
                <w:rFonts w:ascii="宋体" w:hAnsi="宋体" w:cs="宋体" w:hint="eastAsia"/>
                <w:sz w:val="18"/>
                <w:szCs w:val="18"/>
              </w:rPr>
              <w:t>0.39，IH主力合约</w:t>
            </w:r>
            <w:proofErr w:type="gramStart"/>
            <w:r w:rsidRPr="00537CE2">
              <w:rPr>
                <w:rFonts w:ascii="宋体" w:hAnsi="宋体" w:cs="宋体" w:hint="eastAsia"/>
                <w:sz w:val="18"/>
                <w:szCs w:val="18"/>
              </w:rPr>
              <w:t>基差下跌</w:t>
            </w:r>
            <w:proofErr w:type="gramEnd"/>
            <w:r w:rsidRPr="00537CE2">
              <w:rPr>
                <w:rFonts w:ascii="宋体" w:hAnsi="宋体" w:cs="宋体" w:hint="eastAsia"/>
                <w:sz w:val="18"/>
                <w:szCs w:val="18"/>
              </w:rPr>
              <w:t>8.59，IC主力合约</w:t>
            </w:r>
            <w:proofErr w:type="gramStart"/>
            <w:r w:rsidRPr="00537CE2">
              <w:rPr>
                <w:rFonts w:ascii="宋体" w:hAnsi="宋体" w:cs="宋体" w:hint="eastAsia"/>
                <w:sz w:val="18"/>
                <w:szCs w:val="18"/>
              </w:rPr>
              <w:t>基差上升</w:t>
            </w:r>
            <w:proofErr w:type="gramEnd"/>
            <w:r w:rsidRPr="00537CE2">
              <w:rPr>
                <w:rFonts w:ascii="宋体" w:hAnsi="宋体" w:cs="宋体" w:hint="eastAsia"/>
                <w:sz w:val="18"/>
                <w:szCs w:val="18"/>
              </w:rPr>
              <w:t>16.09。沪深港通北向共计流入88.88亿元，南向资金流入35.98亿元，北向</w:t>
            </w:r>
            <w:proofErr w:type="gramStart"/>
            <w:r w:rsidRPr="00537CE2">
              <w:rPr>
                <w:rFonts w:ascii="宋体" w:hAnsi="宋体" w:cs="宋体" w:hint="eastAsia"/>
                <w:sz w:val="18"/>
                <w:szCs w:val="18"/>
              </w:rPr>
              <w:t>资金周度</w:t>
            </w:r>
            <w:proofErr w:type="gramEnd"/>
            <w:r w:rsidRPr="00537CE2">
              <w:rPr>
                <w:rFonts w:ascii="宋体" w:hAnsi="宋体" w:cs="宋体" w:hint="eastAsia"/>
                <w:sz w:val="18"/>
                <w:szCs w:val="18"/>
              </w:rPr>
              <w:t>流入量偏小，外围权益市场表现一般，股指期权隐含波动率回落，权益市场需要重视隐含波动</w:t>
            </w:r>
            <w:proofErr w:type="gramStart"/>
            <w:r w:rsidRPr="00537CE2">
              <w:rPr>
                <w:rFonts w:ascii="宋体" w:hAnsi="宋体" w:cs="宋体" w:hint="eastAsia"/>
                <w:sz w:val="18"/>
                <w:szCs w:val="18"/>
              </w:rPr>
              <w:t>率反弹</w:t>
            </w:r>
            <w:proofErr w:type="gramEnd"/>
            <w:r w:rsidRPr="00537CE2">
              <w:rPr>
                <w:rFonts w:ascii="宋体" w:hAnsi="宋体" w:cs="宋体" w:hint="eastAsia"/>
                <w:sz w:val="18"/>
                <w:szCs w:val="18"/>
              </w:rPr>
              <w:t>的风险，</w:t>
            </w:r>
            <w:r>
              <w:rPr>
                <w:rFonts w:ascii="宋体" w:hAnsi="宋体" w:cs="宋体" w:hint="eastAsia"/>
                <w:sz w:val="18"/>
                <w:szCs w:val="18"/>
              </w:rPr>
              <w:t>本周</w:t>
            </w:r>
            <w:r w:rsidRPr="00537CE2">
              <w:rPr>
                <w:rFonts w:ascii="宋体" w:hAnsi="宋体" w:cs="宋体" w:hint="eastAsia"/>
                <w:sz w:val="18"/>
                <w:szCs w:val="18"/>
              </w:rPr>
              <w:t>建议股指期货多单小幅减持。短期利率再度回落，利率上行压力减弱，投资者可选择多单增持。股指期权下周可以选择买入近月或次近月的跨式期权</w:t>
            </w:r>
            <w:proofErr w:type="gramStart"/>
            <w:r w:rsidRPr="00537CE2">
              <w:rPr>
                <w:rFonts w:ascii="宋体" w:hAnsi="宋体" w:cs="宋体" w:hint="eastAsia"/>
                <w:sz w:val="18"/>
                <w:szCs w:val="18"/>
              </w:rPr>
              <w:t>或宽跨式</w:t>
            </w:r>
            <w:proofErr w:type="gramEnd"/>
            <w:r w:rsidRPr="00537CE2">
              <w:rPr>
                <w:rFonts w:ascii="宋体" w:hAnsi="宋体" w:cs="宋体" w:hint="eastAsia"/>
                <w:sz w:val="18"/>
                <w:szCs w:val="18"/>
              </w:rPr>
              <w:t>期权。</w:t>
            </w:r>
          </w:p>
        </w:tc>
      </w:tr>
    </w:tbl>
    <w:p w:rsidR="00CF6558" w:rsidRDefault="00CF6558">
      <w:pPr>
        <w:widowControl/>
        <w:spacing w:line="300" w:lineRule="auto"/>
        <w:jc w:val="left"/>
        <w:rPr>
          <w:sz w:val="24"/>
        </w:rPr>
      </w:pPr>
    </w:p>
    <w:bookmarkEnd w:id="0"/>
    <w:bookmarkEnd w:id="1"/>
    <w:p w:rsidR="00CF6558" w:rsidRDefault="00653621">
      <w:pPr>
        <w:widowControl/>
        <w:numPr>
          <w:ilvl w:val="0"/>
          <w:numId w:val="1"/>
        </w:numPr>
        <w:spacing w:line="300" w:lineRule="auto"/>
        <w:jc w:val="left"/>
      </w:pPr>
      <w:r>
        <w:rPr>
          <w:rFonts w:hint="eastAsia"/>
        </w:rPr>
        <w:lastRenderedPageBreak/>
        <w:t>重点品种产业链资讯热点</w:t>
      </w:r>
      <w:bookmarkEnd w:id="2"/>
    </w:p>
    <w:tbl>
      <w:tblPr>
        <w:tblpPr w:leftFromText="180" w:rightFromText="180" w:vertAnchor="text" w:tblpX="-70" w:tblpY="1"/>
        <w:tblOverlap w:val="never"/>
        <w:tblW w:w="10100" w:type="dxa"/>
        <w:tblBorders>
          <w:top w:val="single" w:sz="8" w:space="0" w:color="FF0000"/>
          <w:left w:val="dashed" w:sz="4" w:space="0" w:color="FF0000"/>
          <w:bottom w:val="single" w:sz="8" w:space="0" w:color="FF0000"/>
          <w:right w:val="dashed" w:sz="4" w:space="0" w:color="FF0000"/>
          <w:insideH w:val="single" w:sz="8" w:space="0" w:color="FF0000"/>
          <w:insideV w:val="single" w:sz="8" w:space="0" w:color="FF0000"/>
        </w:tblBorders>
        <w:tblLayout w:type="fixed"/>
        <w:tblLook w:val="04A0" w:firstRow="1" w:lastRow="0" w:firstColumn="1" w:lastColumn="0" w:noHBand="0" w:noVBand="1"/>
      </w:tblPr>
      <w:tblGrid>
        <w:gridCol w:w="10100"/>
      </w:tblGrid>
      <w:tr w:rsidR="00CF6558">
        <w:trPr>
          <w:trHeight w:val="90"/>
        </w:trPr>
        <w:tc>
          <w:tcPr>
            <w:tcW w:w="10100" w:type="dxa"/>
          </w:tcPr>
          <w:p w:rsidR="00CF6558" w:rsidRDefault="00653621">
            <w:pPr>
              <w:widowControl/>
              <w:jc w:val="center"/>
            </w:pPr>
            <w:bookmarkStart w:id="3" w:name="_Hlk505344099"/>
            <w:r>
              <w:rPr>
                <w:rFonts w:ascii="宋体" w:hAnsi="宋体" w:hint="eastAsia"/>
                <w:szCs w:val="21"/>
              </w:rPr>
              <w:t>宏观</w:t>
            </w:r>
          </w:p>
        </w:tc>
      </w:tr>
      <w:tr w:rsidR="00CF6558">
        <w:trPr>
          <w:trHeight w:val="689"/>
        </w:trPr>
        <w:tc>
          <w:tcPr>
            <w:tcW w:w="10100" w:type="dxa"/>
            <w:tcBorders>
              <w:bottom w:val="single" w:sz="8" w:space="0" w:color="FF0000"/>
            </w:tcBorders>
          </w:tcPr>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1、亚太经合组织（APEC）第二十七届贸易部长会议6月5日以视频方式召开。会议发表了《APEC贸易部长联合声明》，以及《新冠疫苗供应链声明》和《促进抗疫关键物资流通有关服务业的声明》，承诺APEC各方保持开放的贸易环境，不采取与世贸组织不相符的出口限制或禁止措施，确保疫苗作为全球公共产品得到安全、有效分配。呼吁积极采取贸易便利化措施，畅通疫苗和相关产品的跨境流动。</w:t>
            </w:r>
          </w:p>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2、在经历了前期的一波升值后，最近人民币对美元汇率有所回调。据中国外汇交易中心数据显示，6月1日人民币对美元</w:t>
            </w:r>
            <w:proofErr w:type="gramStart"/>
            <w:r w:rsidRPr="00537CE2">
              <w:rPr>
                <w:rFonts w:ascii="宋体" w:hAnsi="宋体" w:cs="宋体" w:hint="eastAsia"/>
                <w:color w:val="333333"/>
                <w:spacing w:val="10"/>
                <w:sz w:val="18"/>
                <w:szCs w:val="18"/>
              </w:rPr>
              <w:t>中间价报</w:t>
            </w:r>
            <w:proofErr w:type="gramEnd"/>
            <w:r w:rsidRPr="00537CE2">
              <w:rPr>
                <w:rFonts w:ascii="宋体" w:hAnsi="宋体" w:cs="宋体" w:hint="eastAsia"/>
                <w:color w:val="333333"/>
                <w:spacing w:val="10"/>
                <w:sz w:val="18"/>
                <w:szCs w:val="18"/>
              </w:rPr>
              <w:t>6.3572，而6月2日至6月4日则分别报6.3773、6.3811、6.4072。与此同时，近期在岸人民币对美元汇率与离岸人民币对美元汇率也有不同程度回调，资金对于人民币单边升值预期明显减弱，双向波动态势得到加强。</w:t>
            </w:r>
          </w:p>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3、首批金融控股公司来了！近日央行发布公告称，根据《国务院关于实施金融控股公司准入管理的决定》《金融控股公司监督管理试行办法》等规定，央行受理了中国光大集团股份公司和中国中信有限公司关于设立金融控股公司的行政许可申请。</w:t>
            </w:r>
          </w:p>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4、中国债券正成为金融市场吸引外资的重要阵地。数据显示，截至5月末，境外机构持有我国银行间市场债券3.68</w:t>
            </w:r>
            <w:proofErr w:type="gramStart"/>
            <w:r w:rsidRPr="00537CE2">
              <w:rPr>
                <w:rFonts w:ascii="宋体" w:hAnsi="宋体" w:cs="宋体" w:hint="eastAsia"/>
                <w:color w:val="333333"/>
                <w:spacing w:val="10"/>
                <w:sz w:val="18"/>
                <w:szCs w:val="18"/>
              </w:rPr>
              <w:t>万亿</w:t>
            </w:r>
            <w:proofErr w:type="gramEnd"/>
            <w:r w:rsidRPr="00537CE2">
              <w:rPr>
                <w:rFonts w:ascii="宋体" w:hAnsi="宋体" w:cs="宋体" w:hint="eastAsia"/>
                <w:color w:val="333333"/>
                <w:spacing w:val="10"/>
                <w:sz w:val="18"/>
                <w:szCs w:val="18"/>
              </w:rPr>
              <w:t>元，为连续第2个月增加，并较2020年末增加约4230亿元。分析人士指出，我国经济发展前景良好，人民币资产收益具有优势，加之金融市场持续扩大开放，国际投资者对中国债市参与程度稳步提升，未来仍有较大提升空间。在构建金融双向开放新格局过程中，境内主体“走出去”渠道也逐渐丰富起来，债券市场方面，“南向通”可能成为下一个看点。</w:t>
            </w:r>
          </w:p>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5、香港万得通讯社报道，周五（6月4日），美股集体上涨，道指涨0.52%，</w:t>
            </w:r>
            <w:proofErr w:type="gramStart"/>
            <w:r w:rsidRPr="00537CE2">
              <w:rPr>
                <w:rFonts w:ascii="宋体" w:hAnsi="宋体" w:cs="宋体" w:hint="eastAsia"/>
                <w:color w:val="333333"/>
                <w:spacing w:val="10"/>
                <w:sz w:val="18"/>
                <w:szCs w:val="18"/>
              </w:rPr>
              <w:t>标普</w:t>
            </w:r>
            <w:proofErr w:type="gramEnd"/>
            <w:r w:rsidRPr="00537CE2">
              <w:rPr>
                <w:rFonts w:ascii="宋体" w:hAnsi="宋体" w:cs="宋体" w:hint="eastAsia"/>
                <w:color w:val="333333"/>
                <w:spacing w:val="10"/>
                <w:sz w:val="18"/>
                <w:szCs w:val="18"/>
              </w:rPr>
              <w:t>500指数涨0.88%，</w:t>
            </w:r>
            <w:proofErr w:type="gramStart"/>
            <w:r w:rsidRPr="00537CE2">
              <w:rPr>
                <w:rFonts w:ascii="宋体" w:hAnsi="宋体" w:cs="宋体" w:hint="eastAsia"/>
                <w:color w:val="333333"/>
                <w:spacing w:val="10"/>
                <w:sz w:val="18"/>
                <w:szCs w:val="18"/>
              </w:rPr>
              <w:t>纳指涨</w:t>
            </w:r>
            <w:proofErr w:type="gramEnd"/>
            <w:r w:rsidRPr="00537CE2">
              <w:rPr>
                <w:rFonts w:ascii="宋体" w:hAnsi="宋体" w:cs="宋体" w:hint="eastAsia"/>
                <w:color w:val="333333"/>
                <w:spacing w:val="10"/>
                <w:sz w:val="18"/>
                <w:szCs w:val="18"/>
              </w:rPr>
              <w:t>1.47%。赛富时涨近3%，微软、</w:t>
            </w:r>
            <w:proofErr w:type="gramStart"/>
            <w:r w:rsidRPr="00537CE2">
              <w:rPr>
                <w:rFonts w:ascii="宋体" w:hAnsi="宋体" w:cs="宋体" w:hint="eastAsia"/>
                <w:color w:val="333333"/>
                <w:spacing w:val="10"/>
                <w:sz w:val="18"/>
                <w:szCs w:val="18"/>
              </w:rPr>
              <w:t>英特尔涨超</w:t>
            </w:r>
            <w:proofErr w:type="gramEnd"/>
            <w:r w:rsidRPr="00537CE2">
              <w:rPr>
                <w:rFonts w:ascii="宋体" w:hAnsi="宋体" w:cs="宋体" w:hint="eastAsia"/>
                <w:color w:val="333333"/>
                <w:spacing w:val="10"/>
                <w:sz w:val="18"/>
                <w:szCs w:val="18"/>
              </w:rPr>
              <w:t>2%，纷纷领涨道指。科技股大涨，苹果涨近2%，</w:t>
            </w:r>
            <w:proofErr w:type="gramStart"/>
            <w:r w:rsidRPr="00537CE2">
              <w:rPr>
                <w:rFonts w:ascii="宋体" w:hAnsi="宋体" w:cs="宋体" w:hint="eastAsia"/>
                <w:color w:val="333333"/>
                <w:spacing w:val="10"/>
                <w:sz w:val="18"/>
                <w:szCs w:val="18"/>
              </w:rPr>
              <w:t>特斯拉涨超</w:t>
            </w:r>
            <w:proofErr w:type="gramEnd"/>
            <w:r w:rsidRPr="00537CE2">
              <w:rPr>
                <w:rFonts w:ascii="宋体" w:hAnsi="宋体" w:cs="宋体" w:hint="eastAsia"/>
                <w:color w:val="333333"/>
                <w:spacing w:val="10"/>
                <w:sz w:val="18"/>
                <w:szCs w:val="18"/>
              </w:rPr>
              <w:t>4%。</w:t>
            </w:r>
          </w:p>
          <w:p w:rsidR="00537CE2" w:rsidRPr="00537CE2"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6、热门</w:t>
            </w:r>
            <w:proofErr w:type="gramStart"/>
            <w:r w:rsidRPr="00537CE2">
              <w:rPr>
                <w:rFonts w:ascii="宋体" w:hAnsi="宋体" w:cs="宋体" w:hint="eastAsia"/>
                <w:color w:val="333333"/>
                <w:spacing w:val="10"/>
                <w:sz w:val="18"/>
                <w:szCs w:val="18"/>
              </w:rPr>
              <w:t>中概股</w:t>
            </w:r>
            <w:proofErr w:type="gramEnd"/>
            <w:r w:rsidRPr="00537CE2">
              <w:rPr>
                <w:rFonts w:ascii="宋体" w:hAnsi="宋体" w:cs="宋体" w:hint="eastAsia"/>
                <w:color w:val="333333"/>
                <w:spacing w:val="10"/>
                <w:sz w:val="18"/>
                <w:szCs w:val="18"/>
              </w:rPr>
              <w:t>涨跌不一，</w:t>
            </w:r>
            <w:proofErr w:type="gramStart"/>
            <w:r w:rsidRPr="00537CE2">
              <w:rPr>
                <w:rFonts w:ascii="宋体" w:hAnsi="宋体" w:cs="宋体" w:hint="eastAsia"/>
                <w:color w:val="333333"/>
                <w:spacing w:val="10"/>
                <w:sz w:val="18"/>
                <w:szCs w:val="18"/>
              </w:rPr>
              <w:t>亿航智能</w:t>
            </w:r>
            <w:proofErr w:type="gramEnd"/>
            <w:r w:rsidRPr="00537CE2">
              <w:rPr>
                <w:rFonts w:ascii="宋体" w:hAnsi="宋体" w:cs="宋体" w:hint="eastAsia"/>
                <w:color w:val="333333"/>
                <w:spacing w:val="10"/>
                <w:sz w:val="18"/>
                <w:szCs w:val="18"/>
              </w:rPr>
              <w:t>涨19.76%，360 DIGITECH涨17.17%，刷新历史新高，乐信涨14.41%，小赢科技涨8.89%，信</w:t>
            </w:r>
            <w:proofErr w:type="gramStart"/>
            <w:r w:rsidRPr="00537CE2">
              <w:rPr>
                <w:rFonts w:ascii="宋体" w:hAnsi="宋体" w:cs="宋体" w:hint="eastAsia"/>
                <w:color w:val="333333"/>
                <w:spacing w:val="10"/>
                <w:sz w:val="18"/>
                <w:szCs w:val="18"/>
              </w:rPr>
              <w:t>也科技</w:t>
            </w:r>
            <w:proofErr w:type="gramEnd"/>
            <w:r w:rsidRPr="00537CE2">
              <w:rPr>
                <w:rFonts w:ascii="宋体" w:hAnsi="宋体" w:cs="宋体" w:hint="eastAsia"/>
                <w:color w:val="333333"/>
                <w:spacing w:val="10"/>
                <w:sz w:val="18"/>
                <w:szCs w:val="18"/>
              </w:rPr>
              <w:t>涨7.6%，</w:t>
            </w:r>
            <w:proofErr w:type="gramStart"/>
            <w:r w:rsidRPr="00537CE2">
              <w:rPr>
                <w:rFonts w:ascii="宋体" w:hAnsi="宋体" w:cs="宋体" w:hint="eastAsia"/>
                <w:color w:val="333333"/>
                <w:spacing w:val="10"/>
                <w:sz w:val="18"/>
                <w:szCs w:val="18"/>
              </w:rPr>
              <w:t>爱奇艺涨</w:t>
            </w:r>
            <w:proofErr w:type="gramEnd"/>
            <w:r w:rsidRPr="00537CE2">
              <w:rPr>
                <w:rFonts w:ascii="宋体" w:hAnsi="宋体" w:cs="宋体" w:hint="eastAsia"/>
                <w:color w:val="333333"/>
                <w:spacing w:val="10"/>
                <w:sz w:val="18"/>
                <w:szCs w:val="18"/>
              </w:rPr>
              <w:t>5.24%；一起教育科技跌11.86%，好未来跌9.83%，格林酒店跌6.89%，波奇网跌4.93%，</w:t>
            </w:r>
            <w:proofErr w:type="gramStart"/>
            <w:r w:rsidRPr="00537CE2">
              <w:rPr>
                <w:rFonts w:ascii="宋体" w:hAnsi="宋体" w:cs="宋体" w:hint="eastAsia"/>
                <w:color w:val="333333"/>
                <w:spacing w:val="10"/>
                <w:sz w:val="18"/>
                <w:szCs w:val="18"/>
              </w:rPr>
              <w:t>人人网跌</w:t>
            </w:r>
            <w:proofErr w:type="gramEnd"/>
            <w:r w:rsidRPr="00537CE2">
              <w:rPr>
                <w:rFonts w:ascii="宋体" w:hAnsi="宋体" w:cs="宋体" w:hint="eastAsia"/>
                <w:color w:val="333333"/>
                <w:spacing w:val="10"/>
                <w:sz w:val="18"/>
                <w:szCs w:val="18"/>
              </w:rPr>
              <w:t>4.69%。新能源汽车股集体上涨，</w:t>
            </w:r>
            <w:proofErr w:type="gramStart"/>
            <w:r w:rsidRPr="00537CE2">
              <w:rPr>
                <w:rFonts w:ascii="宋体" w:hAnsi="宋体" w:cs="宋体" w:hint="eastAsia"/>
                <w:color w:val="333333"/>
                <w:spacing w:val="10"/>
                <w:sz w:val="18"/>
                <w:szCs w:val="18"/>
              </w:rPr>
              <w:t>蔚来汽车</w:t>
            </w:r>
            <w:proofErr w:type="gramEnd"/>
            <w:r w:rsidRPr="00537CE2">
              <w:rPr>
                <w:rFonts w:ascii="宋体" w:hAnsi="宋体" w:cs="宋体" w:hint="eastAsia"/>
                <w:color w:val="333333"/>
                <w:spacing w:val="10"/>
                <w:sz w:val="18"/>
                <w:szCs w:val="18"/>
              </w:rPr>
              <w:t>涨2.59%，小鹏汽车涨3.25%，理想汽车涨2.72%。</w:t>
            </w:r>
          </w:p>
          <w:p w:rsidR="00CF6558" w:rsidRPr="00185749" w:rsidRDefault="00537CE2" w:rsidP="00537CE2">
            <w:pPr>
              <w:widowControl/>
              <w:shd w:val="clear" w:color="auto" w:fill="FEFFFF"/>
              <w:rPr>
                <w:rFonts w:ascii="宋体" w:hAnsi="宋体" w:cs="宋体"/>
                <w:color w:val="333333"/>
                <w:spacing w:val="10"/>
                <w:sz w:val="18"/>
                <w:szCs w:val="18"/>
              </w:rPr>
            </w:pPr>
            <w:r w:rsidRPr="00537CE2">
              <w:rPr>
                <w:rFonts w:ascii="宋体" w:hAnsi="宋体" w:cs="宋体" w:hint="eastAsia"/>
                <w:color w:val="333333"/>
                <w:spacing w:val="10"/>
                <w:sz w:val="18"/>
                <w:szCs w:val="18"/>
              </w:rPr>
              <w:t>7、美国</w:t>
            </w:r>
            <w:proofErr w:type="gramStart"/>
            <w:r w:rsidRPr="00537CE2">
              <w:rPr>
                <w:rFonts w:ascii="宋体" w:hAnsi="宋体" w:cs="宋体" w:hint="eastAsia"/>
                <w:color w:val="333333"/>
                <w:spacing w:val="10"/>
                <w:sz w:val="18"/>
                <w:szCs w:val="18"/>
              </w:rPr>
              <w:t>财长耶伦表示</w:t>
            </w:r>
            <w:proofErr w:type="gramEnd"/>
            <w:r w:rsidRPr="00537CE2">
              <w:rPr>
                <w:rFonts w:ascii="宋体" w:hAnsi="宋体" w:cs="宋体" w:hint="eastAsia"/>
                <w:color w:val="333333"/>
                <w:spacing w:val="10"/>
                <w:sz w:val="18"/>
                <w:szCs w:val="18"/>
              </w:rPr>
              <w:t>，美国总统拜登的</w:t>
            </w:r>
            <w:proofErr w:type="gramStart"/>
            <w:r w:rsidRPr="00537CE2">
              <w:rPr>
                <w:rFonts w:ascii="宋体" w:hAnsi="宋体" w:cs="宋体" w:hint="eastAsia"/>
                <w:color w:val="333333"/>
                <w:spacing w:val="10"/>
                <w:sz w:val="18"/>
                <w:szCs w:val="18"/>
              </w:rPr>
              <w:t>的</w:t>
            </w:r>
            <w:proofErr w:type="gramEnd"/>
            <w:r w:rsidRPr="00537CE2">
              <w:rPr>
                <w:rFonts w:ascii="宋体" w:hAnsi="宋体" w:cs="宋体" w:hint="eastAsia"/>
                <w:color w:val="333333"/>
                <w:spacing w:val="10"/>
                <w:sz w:val="18"/>
                <w:szCs w:val="18"/>
              </w:rPr>
              <w:t>4</w:t>
            </w:r>
            <w:proofErr w:type="gramStart"/>
            <w:r w:rsidRPr="00537CE2">
              <w:rPr>
                <w:rFonts w:ascii="宋体" w:hAnsi="宋体" w:cs="宋体" w:hint="eastAsia"/>
                <w:color w:val="333333"/>
                <w:spacing w:val="10"/>
                <w:sz w:val="18"/>
                <w:szCs w:val="18"/>
              </w:rPr>
              <w:t>万亿</w:t>
            </w:r>
            <w:proofErr w:type="gramEnd"/>
            <w:r w:rsidRPr="00537CE2">
              <w:rPr>
                <w:rFonts w:ascii="宋体" w:hAnsi="宋体" w:cs="宋体" w:hint="eastAsia"/>
                <w:color w:val="333333"/>
                <w:spacing w:val="10"/>
                <w:sz w:val="18"/>
                <w:szCs w:val="18"/>
              </w:rPr>
              <w:t>美元支出计划对美国有利，即使这可能导致通胀上升并最终致使利率上调。</w:t>
            </w:r>
            <w:proofErr w:type="gramStart"/>
            <w:r w:rsidRPr="00537CE2">
              <w:rPr>
                <w:rFonts w:ascii="宋体" w:hAnsi="宋体" w:cs="宋体" w:hint="eastAsia"/>
                <w:color w:val="333333"/>
                <w:spacing w:val="10"/>
                <w:sz w:val="18"/>
                <w:szCs w:val="18"/>
              </w:rPr>
              <w:t>耶伦说</w:t>
            </w:r>
            <w:proofErr w:type="gramEnd"/>
            <w:r w:rsidRPr="00537CE2">
              <w:rPr>
                <w:rFonts w:ascii="宋体" w:hAnsi="宋体" w:cs="宋体" w:hint="eastAsia"/>
                <w:color w:val="333333"/>
                <w:spacing w:val="10"/>
                <w:sz w:val="18"/>
                <w:szCs w:val="18"/>
              </w:rPr>
              <w:t>，“如果我们最终的利率水平略微升高，这实际上对（美国）社会和美联储而言都有利。过去十年来，我们一直在与过低的通胀和利率作斗争，我们希望回到正常的利率环境。如果这有助于缓解一些情况，那么就不是坏事，而是一件好事。”她认为当前的价格上涨是由于新冠病毒大流行造成的“暂时性异常”所驱动的。</w:t>
            </w:r>
          </w:p>
        </w:tc>
      </w:tr>
      <w:tr w:rsidR="00CF6558">
        <w:trPr>
          <w:trHeight w:val="90"/>
        </w:trPr>
        <w:tc>
          <w:tcPr>
            <w:tcW w:w="10100" w:type="dxa"/>
          </w:tcPr>
          <w:p w:rsidR="00CF6558" w:rsidRDefault="00653621">
            <w:pPr>
              <w:widowControl/>
              <w:shd w:val="clear" w:color="auto" w:fill="FEFFFF"/>
              <w:jc w:val="center"/>
              <w:rPr>
                <w:rFonts w:ascii="宋体" w:hAnsi="宋体"/>
                <w:szCs w:val="21"/>
              </w:rPr>
            </w:pPr>
            <w:r>
              <w:rPr>
                <w:rFonts w:ascii="宋体" w:hAnsi="宋体" w:hint="eastAsia"/>
                <w:szCs w:val="21"/>
              </w:rPr>
              <w:t>黑色产业链</w:t>
            </w:r>
          </w:p>
        </w:tc>
      </w:tr>
      <w:tr w:rsidR="00CF6558">
        <w:trPr>
          <w:trHeight w:val="691"/>
        </w:trPr>
        <w:tc>
          <w:tcPr>
            <w:tcW w:w="10100" w:type="dxa"/>
          </w:tcPr>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1、唐山丰润区独立轧钢企业6月5日至13日执行限产。据</w:t>
            </w:r>
            <w:proofErr w:type="spellStart"/>
            <w:r w:rsidRPr="00537CE2">
              <w:rPr>
                <w:rFonts w:ascii="宋体" w:hAnsi="宋体" w:cs="宋体" w:hint="eastAsia"/>
                <w:color w:val="333333"/>
                <w:spacing w:val="10"/>
                <w:sz w:val="18"/>
                <w:szCs w:val="18"/>
              </w:rPr>
              <w:t>Mysteel</w:t>
            </w:r>
            <w:proofErr w:type="spellEnd"/>
            <w:r w:rsidRPr="00537CE2">
              <w:rPr>
                <w:rFonts w:ascii="宋体" w:hAnsi="宋体" w:cs="宋体" w:hint="eastAsia"/>
                <w:color w:val="333333"/>
                <w:spacing w:val="10"/>
                <w:sz w:val="18"/>
                <w:szCs w:val="18"/>
              </w:rPr>
              <w:t>跟踪调研，丰润区调坯型钢厂4日晚</w:t>
            </w:r>
            <w:proofErr w:type="gramStart"/>
            <w:r w:rsidRPr="00537CE2">
              <w:rPr>
                <w:rFonts w:ascii="宋体" w:hAnsi="宋体" w:cs="宋体" w:hint="eastAsia"/>
                <w:color w:val="333333"/>
                <w:spacing w:val="10"/>
                <w:sz w:val="18"/>
                <w:szCs w:val="18"/>
              </w:rPr>
              <w:t>多落实</w:t>
            </w:r>
            <w:proofErr w:type="gramEnd"/>
            <w:r w:rsidRPr="00537CE2">
              <w:rPr>
                <w:rFonts w:ascii="宋体" w:hAnsi="宋体" w:cs="宋体" w:hint="eastAsia"/>
                <w:color w:val="333333"/>
                <w:spacing w:val="10"/>
                <w:sz w:val="18"/>
                <w:szCs w:val="18"/>
              </w:rPr>
              <w:t>停产措施，日产量影响5.77万吨，影响量较3日增加3.35万吨，调研35家调坯型钢企业开工率由59.57%下降至22%左右。</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2、按照徐州区域要求今年全年粗钢产量不超去年的大方向，同时据</w:t>
            </w:r>
            <w:proofErr w:type="spellStart"/>
            <w:r w:rsidRPr="00537CE2">
              <w:rPr>
                <w:rFonts w:ascii="宋体" w:hAnsi="宋体" w:cs="宋体" w:hint="eastAsia"/>
                <w:color w:val="333333"/>
                <w:spacing w:val="10"/>
                <w:sz w:val="18"/>
                <w:szCs w:val="18"/>
              </w:rPr>
              <w:t>Mysteel</w:t>
            </w:r>
            <w:proofErr w:type="spellEnd"/>
            <w:r w:rsidRPr="00537CE2">
              <w:rPr>
                <w:rFonts w:ascii="宋体" w:hAnsi="宋体" w:cs="宋体" w:hint="eastAsia"/>
                <w:color w:val="333333"/>
                <w:spacing w:val="10"/>
                <w:sz w:val="18"/>
                <w:szCs w:val="18"/>
              </w:rPr>
              <w:t>了解，省内其他钢厂也有这样的要求。预计2021年7-12月江苏省同口径下需要压减粗钢产量800万吨左右，日均压缩粗钢产量超过4万吨，但对各钢厂、各品种的影响目前还有待具体跟进。</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3、247家钢厂高炉开工率80.86%，环比降0.13%，同比降10.16%；高炉炼铁产能利用率91.89%，环比增0.48%，同比降0.02%；钢厂盈利率86.15%，环比增0.87%，同比降6.93%；日均铁水产量244.59万吨，环比增1.28万吨，同比降0.05万吨。</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4、6月5日，生态环境部部长黄润秋表示，将把实现减</w:t>
            </w:r>
            <w:proofErr w:type="gramStart"/>
            <w:r w:rsidRPr="00537CE2">
              <w:rPr>
                <w:rFonts w:ascii="宋体" w:hAnsi="宋体" w:cs="宋体" w:hint="eastAsia"/>
                <w:color w:val="333333"/>
                <w:spacing w:val="10"/>
                <w:sz w:val="18"/>
                <w:szCs w:val="18"/>
              </w:rPr>
              <w:t>污降碳</w:t>
            </w:r>
            <w:proofErr w:type="gramEnd"/>
            <w:r w:rsidRPr="00537CE2">
              <w:rPr>
                <w:rFonts w:ascii="宋体" w:hAnsi="宋体" w:cs="宋体" w:hint="eastAsia"/>
                <w:color w:val="333333"/>
                <w:spacing w:val="10"/>
                <w:sz w:val="18"/>
                <w:szCs w:val="18"/>
              </w:rPr>
              <w:t>协同增效作为总抓手，推动制定实施</w:t>
            </w:r>
            <w:proofErr w:type="gramStart"/>
            <w:r w:rsidRPr="00537CE2">
              <w:rPr>
                <w:rFonts w:ascii="宋体" w:hAnsi="宋体" w:cs="宋体" w:hint="eastAsia"/>
                <w:color w:val="333333"/>
                <w:spacing w:val="10"/>
                <w:sz w:val="18"/>
                <w:szCs w:val="18"/>
              </w:rPr>
              <w:t>碳达峰行动</w:t>
            </w:r>
            <w:proofErr w:type="gramEnd"/>
            <w:r w:rsidRPr="00537CE2">
              <w:rPr>
                <w:rFonts w:ascii="宋体" w:hAnsi="宋体" w:cs="宋体" w:hint="eastAsia"/>
                <w:color w:val="333333"/>
                <w:spacing w:val="10"/>
                <w:sz w:val="18"/>
                <w:szCs w:val="18"/>
              </w:rPr>
              <w:t>方案，进一步</w:t>
            </w:r>
            <w:proofErr w:type="gramStart"/>
            <w:r w:rsidRPr="00537CE2">
              <w:rPr>
                <w:rFonts w:ascii="宋体" w:hAnsi="宋体" w:cs="宋体" w:hint="eastAsia"/>
                <w:color w:val="333333"/>
                <w:spacing w:val="10"/>
                <w:sz w:val="18"/>
                <w:szCs w:val="18"/>
              </w:rPr>
              <w:t>强化降碳的</w:t>
            </w:r>
            <w:proofErr w:type="gramEnd"/>
            <w:r w:rsidRPr="00537CE2">
              <w:rPr>
                <w:rFonts w:ascii="宋体" w:hAnsi="宋体" w:cs="宋体" w:hint="eastAsia"/>
                <w:color w:val="333333"/>
                <w:spacing w:val="10"/>
                <w:sz w:val="18"/>
                <w:szCs w:val="18"/>
              </w:rPr>
              <w:t>刚性举措。综合运用“三线一单”等手段严格控制高耗能、高排放项目建设，遏制高碳高排放的旧动能。</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lastRenderedPageBreak/>
              <w:t>5、6月3日，世界钢铁协会公布2020年</w:t>
            </w:r>
            <w:proofErr w:type="gramStart"/>
            <w:r w:rsidRPr="00537CE2">
              <w:rPr>
                <w:rFonts w:ascii="宋体" w:hAnsi="宋体" w:cs="宋体" w:hint="eastAsia"/>
                <w:color w:val="333333"/>
                <w:spacing w:val="10"/>
                <w:sz w:val="18"/>
                <w:szCs w:val="18"/>
              </w:rPr>
              <w:t>全球钢企产量</w:t>
            </w:r>
            <w:proofErr w:type="gramEnd"/>
            <w:r w:rsidRPr="00537CE2">
              <w:rPr>
                <w:rFonts w:ascii="宋体" w:hAnsi="宋体" w:cs="宋体" w:hint="eastAsia"/>
                <w:color w:val="333333"/>
                <w:spacing w:val="10"/>
                <w:sz w:val="18"/>
                <w:szCs w:val="18"/>
              </w:rPr>
              <w:t>前50强名单，中国30家上榜。其中，中国宝武1亿1529万吨高居榜首，</w:t>
            </w:r>
            <w:proofErr w:type="gramStart"/>
            <w:r w:rsidRPr="00537CE2">
              <w:rPr>
                <w:rFonts w:ascii="宋体" w:hAnsi="宋体" w:cs="宋体" w:hint="eastAsia"/>
                <w:color w:val="333333"/>
                <w:spacing w:val="10"/>
                <w:sz w:val="18"/>
                <w:szCs w:val="18"/>
              </w:rPr>
              <w:t>安米7846万吨</w:t>
            </w:r>
            <w:proofErr w:type="gramEnd"/>
            <w:r w:rsidRPr="00537CE2">
              <w:rPr>
                <w:rFonts w:ascii="宋体" w:hAnsi="宋体" w:cs="宋体" w:hint="eastAsia"/>
                <w:color w:val="333333"/>
                <w:spacing w:val="10"/>
                <w:sz w:val="18"/>
                <w:szCs w:val="18"/>
              </w:rPr>
              <w:t>位居第二，</w:t>
            </w:r>
            <w:proofErr w:type="gramStart"/>
            <w:r w:rsidRPr="00537CE2">
              <w:rPr>
                <w:rFonts w:ascii="宋体" w:hAnsi="宋体" w:cs="宋体" w:hint="eastAsia"/>
                <w:color w:val="333333"/>
                <w:spacing w:val="10"/>
                <w:sz w:val="18"/>
                <w:szCs w:val="18"/>
              </w:rPr>
              <w:t>河钢集团</w:t>
            </w:r>
            <w:proofErr w:type="gramEnd"/>
            <w:r w:rsidRPr="00537CE2">
              <w:rPr>
                <w:rFonts w:ascii="宋体" w:hAnsi="宋体" w:cs="宋体" w:hint="eastAsia"/>
                <w:color w:val="333333"/>
                <w:spacing w:val="10"/>
                <w:sz w:val="18"/>
                <w:szCs w:val="18"/>
              </w:rPr>
              <w:t>4376万吨居第三位，沙钢集团4159万吨列第四。</w:t>
            </w:r>
          </w:p>
          <w:p w:rsidR="00674EA9"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6、中钢</w:t>
            </w:r>
            <w:proofErr w:type="gramStart"/>
            <w:r w:rsidRPr="00537CE2">
              <w:rPr>
                <w:rFonts w:ascii="宋体" w:hAnsi="宋体" w:cs="宋体" w:hint="eastAsia"/>
                <w:color w:val="333333"/>
                <w:spacing w:val="10"/>
                <w:sz w:val="18"/>
                <w:szCs w:val="18"/>
              </w:rPr>
              <w:t>协数据</w:t>
            </w:r>
            <w:proofErr w:type="gramEnd"/>
            <w:r w:rsidRPr="00537CE2">
              <w:rPr>
                <w:rFonts w:ascii="宋体" w:hAnsi="宋体" w:cs="宋体" w:hint="eastAsia"/>
                <w:color w:val="333333"/>
                <w:spacing w:val="10"/>
                <w:sz w:val="18"/>
                <w:szCs w:val="18"/>
              </w:rPr>
              <w:t>显示，5月下旬重点统计钢铁企业</w:t>
            </w:r>
            <w:proofErr w:type="gramStart"/>
            <w:r w:rsidRPr="00537CE2">
              <w:rPr>
                <w:rFonts w:ascii="宋体" w:hAnsi="宋体" w:cs="宋体" w:hint="eastAsia"/>
                <w:color w:val="333333"/>
                <w:spacing w:val="10"/>
                <w:sz w:val="18"/>
                <w:szCs w:val="18"/>
              </w:rPr>
              <w:t>粗钢日均</w:t>
            </w:r>
            <w:proofErr w:type="gramEnd"/>
            <w:r w:rsidRPr="00537CE2">
              <w:rPr>
                <w:rFonts w:ascii="宋体" w:hAnsi="宋体" w:cs="宋体" w:hint="eastAsia"/>
                <w:color w:val="333333"/>
                <w:spacing w:val="10"/>
                <w:sz w:val="18"/>
                <w:szCs w:val="18"/>
              </w:rPr>
              <w:t>产量228.61万吨，环比降3.92%、同比增9.25%；钢材库存量1340.6万吨，比上一旬减少123.35万吨。</w:t>
            </w:r>
          </w:p>
        </w:tc>
      </w:tr>
      <w:tr w:rsidR="00CF6558">
        <w:trPr>
          <w:trHeight w:val="90"/>
        </w:trPr>
        <w:tc>
          <w:tcPr>
            <w:tcW w:w="10100" w:type="dxa"/>
          </w:tcPr>
          <w:p w:rsidR="00CF6558" w:rsidRDefault="00653621">
            <w:pPr>
              <w:spacing w:line="340" w:lineRule="exact"/>
              <w:ind w:left="-45"/>
              <w:jc w:val="center"/>
            </w:pPr>
            <w:proofErr w:type="gramStart"/>
            <w:r>
              <w:rPr>
                <w:rFonts w:hint="eastAsia"/>
              </w:rPr>
              <w:lastRenderedPageBreak/>
              <w:t>有色产业</w:t>
            </w:r>
            <w:proofErr w:type="gramEnd"/>
            <w:r>
              <w:rPr>
                <w:rFonts w:hint="eastAsia"/>
              </w:rPr>
              <w:t>链</w:t>
            </w:r>
          </w:p>
        </w:tc>
      </w:tr>
      <w:tr w:rsidR="00CF6558">
        <w:trPr>
          <w:trHeight w:val="90"/>
        </w:trPr>
        <w:tc>
          <w:tcPr>
            <w:tcW w:w="10100" w:type="dxa"/>
          </w:tcPr>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1、据上海有色网（SMM）调研，截至6月4日，国内33家再生铅持证冶炼企业再生</w:t>
            </w:r>
            <w:proofErr w:type="gramStart"/>
            <w:r w:rsidRPr="00537CE2">
              <w:rPr>
                <w:rFonts w:ascii="宋体" w:hAnsi="宋体" w:cs="宋体" w:hint="eastAsia"/>
                <w:color w:val="333333"/>
                <w:spacing w:val="10"/>
                <w:sz w:val="18"/>
                <w:szCs w:val="18"/>
              </w:rPr>
              <w:t>精铅周度产量</w:t>
            </w:r>
            <w:proofErr w:type="gramEnd"/>
            <w:r w:rsidRPr="00537CE2">
              <w:rPr>
                <w:rFonts w:ascii="宋体" w:hAnsi="宋体" w:cs="宋体" w:hint="eastAsia"/>
                <w:color w:val="333333"/>
                <w:spacing w:val="10"/>
                <w:sz w:val="18"/>
                <w:szCs w:val="18"/>
              </w:rPr>
              <w:t>6.4万吨，较前期减少0.4万吨。炼厂厂库中，废电瓶库存共计18.9万吨，较前期增加1.6万吨，还原铅、再生精铅和合金成品库存共计3.7万吨，较上周小降0.24万吨。本次调研样本涉及再生铅产能341.3万吨/年，废电瓶处理能力840.4万吨/年。本周再生铅炼厂成品库存未增反降，主因铅价走弱，再生</w:t>
            </w:r>
            <w:proofErr w:type="gramStart"/>
            <w:r w:rsidRPr="00537CE2">
              <w:rPr>
                <w:rFonts w:ascii="宋体" w:hAnsi="宋体" w:cs="宋体" w:hint="eastAsia"/>
                <w:color w:val="333333"/>
                <w:spacing w:val="10"/>
                <w:sz w:val="18"/>
                <w:szCs w:val="18"/>
              </w:rPr>
              <w:t>铅利润</w:t>
            </w:r>
            <w:proofErr w:type="gramEnd"/>
            <w:r w:rsidRPr="00537CE2">
              <w:rPr>
                <w:rFonts w:ascii="宋体" w:hAnsi="宋体" w:cs="宋体" w:hint="eastAsia"/>
                <w:color w:val="333333"/>
                <w:spacing w:val="10"/>
                <w:sz w:val="18"/>
                <w:szCs w:val="18"/>
              </w:rPr>
              <w:t>不佳，炼厂生产积极性下降，产量下滑。同时因担心后市下跌，</w:t>
            </w:r>
            <w:proofErr w:type="gramStart"/>
            <w:r w:rsidRPr="00537CE2">
              <w:rPr>
                <w:rFonts w:ascii="宋体" w:hAnsi="宋体" w:cs="宋体" w:hint="eastAsia"/>
                <w:color w:val="333333"/>
                <w:spacing w:val="10"/>
                <w:sz w:val="18"/>
                <w:szCs w:val="18"/>
              </w:rPr>
              <w:t>炼厂累库积极性</w:t>
            </w:r>
            <w:proofErr w:type="gramEnd"/>
            <w:r w:rsidRPr="00537CE2">
              <w:rPr>
                <w:rFonts w:ascii="宋体" w:hAnsi="宋体" w:cs="宋体" w:hint="eastAsia"/>
                <w:color w:val="333333"/>
                <w:spacing w:val="10"/>
                <w:sz w:val="18"/>
                <w:szCs w:val="18"/>
              </w:rPr>
              <w:t>不高，而下游逢低按需补库，消费有所改善，再生铅成品库存下降。</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2、6月3日，</w:t>
            </w:r>
            <w:proofErr w:type="gramStart"/>
            <w:r w:rsidRPr="00537CE2">
              <w:rPr>
                <w:rFonts w:ascii="宋体" w:hAnsi="宋体" w:cs="宋体" w:hint="eastAsia"/>
                <w:color w:val="333333"/>
                <w:spacing w:val="10"/>
                <w:sz w:val="18"/>
                <w:szCs w:val="18"/>
              </w:rPr>
              <w:t>盛屯矿业</w:t>
            </w:r>
            <w:proofErr w:type="gramEnd"/>
            <w:r w:rsidRPr="00537CE2">
              <w:rPr>
                <w:rFonts w:ascii="宋体" w:hAnsi="宋体" w:cs="宋体" w:hint="eastAsia"/>
                <w:color w:val="333333"/>
                <w:spacing w:val="10"/>
                <w:sz w:val="18"/>
                <w:szCs w:val="18"/>
              </w:rPr>
              <w:t>发布公告称，公司拟定增募资22.5亿元，扣除发行费用后的募集资金净额将</w:t>
            </w:r>
            <w:proofErr w:type="gramStart"/>
            <w:r w:rsidRPr="00537CE2">
              <w:rPr>
                <w:rFonts w:ascii="宋体" w:hAnsi="宋体" w:cs="宋体" w:hint="eastAsia"/>
                <w:color w:val="333333"/>
                <w:spacing w:val="10"/>
                <w:sz w:val="18"/>
                <w:szCs w:val="18"/>
              </w:rPr>
              <w:t>用于卡隆威</w:t>
            </w:r>
            <w:proofErr w:type="gramEnd"/>
            <w:r w:rsidRPr="00537CE2">
              <w:rPr>
                <w:rFonts w:ascii="宋体" w:hAnsi="宋体" w:cs="宋体" w:hint="eastAsia"/>
                <w:color w:val="333333"/>
                <w:spacing w:val="10"/>
                <w:sz w:val="18"/>
                <w:szCs w:val="18"/>
              </w:rPr>
              <w:t>项目（16亿元）和补充流动资金（6.5亿元）。</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3、据SMM了解，截至本周五（6月4日）上海保税区锌锭库存为4.25万吨，较上周五（5月28日）增加0.08万吨。本周进口亏损收窄，因进口窗口仍在处于关闭，华东市场进口</w:t>
            </w:r>
            <w:proofErr w:type="gramStart"/>
            <w:r w:rsidRPr="00537CE2">
              <w:rPr>
                <w:rFonts w:ascii="宋体" w:hAnsi="宋体" w:cs="宋体" w:hint="eastAsia"/>
                <w:color w:val="333333"/>
                <w:spacing w:val="10"/>
                <w:sz w:val="18"/>
                <w:szCs w:val="18"/>
              </w:rPr>
              <w:t>锌</w:t>
            </w:r>
            <w:proofErr w:type="gramEnd"/>
            <w:r w:rsidRPr="00537CE2">
              <w:rPr>
                <w:rFonts w:ascii="宋体" w:hAnsi="宋体" w:cs="宋体" w:hint="eastAsia"/>
                <w:color w:val="333333"/>
                <w:spacing w:val="10"/>
                <w:sz w:val="18"/>
                <w:szCs w:val="18"/>
              </w:rPr>
              <w:t>流通亦有限，部分新到港货进入保税区，保税区库存止降回升。</w:t>
            </w:r>
          </w:p>
          <w:p w:rsidR="00537CE2" w:rsidRPr="00537CE2"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4、2021年6月4日海外最新成交一船氧化铝，共3万吨，至中国主要港口，船期六月下旬，成交价格 CIF 327美元/吨，当前西澳至中国主要运费在44美元/吨左右。</w:t>
            </w:r>
          </w:p>
          <w:p w:rsidR="0026279D" w:rsidRDefault="00537CE2" w:rsidP="00537CE2">
            <w:pPr>
              <w:spacing w:line="340" w:lineRule="exact"/>
              <w:jc w:val="left"/>
              <w:rPr>
                <w:rFonts w:ascii="宋体" w:hAnsi="宋体" w:cs="宋体"/>
                <w:color w:val="333333"/>
                <w:spacing w:val="10"/>
                <w:sz w:val="18"/>
                <w:szCs w:val="18"/>
              </w:rPr>
            </w:pPr>
            <w:r w:rsidRPr="00537CE2">
              <w:rPr>
                <w:rFonts w:ascii="宋体" w:hAnsi="宋体" w:cs="宋体" w:hint="eastAsia"/>
                <w:color w:val="333333"/>
                <w:spacing w:val="10"/>
                <w:sz w:val="18"/>
                <w:szCs w:val="18"/>
              </w:rPr>
              <w:t xml:space="preserve">5、博茨瓦纳的首席执行官周三表示，博茨瓦纳的新铜矿 </w:t>
            </w:r>
            <w:proofErr w:type="spellStart"/>
            <w:r w:rsidRPr="00537CE2">
              <w:rPr>
                <w:rFonts w:ascii="宋体" w:hAnsi="宋体" w:cs="宋体" w:hint="eastAsia"/>
                <w:color w:val="333333"/>
                <w:spacing w:val="10"/>
                <w:sz w:val="18"/>
                <w:szCs w:val="18"/>
              </w:rPr>
              <w:t>Khoemacau</w:t>
            </w:r>
            <w:proofErr w:type="spellEnd"/>
            <w:r w:rsidRPr="00537CE2">
              <w:rPr>
                <w:rFonts w:ascii="宋体" w:hAnsi="宋体" w:cs="宋体" w:hint="eastAsia"/>
                <w:color w:val="333333"/>
                <w:spacing w:val="10"/>
                <w:sz w:val="18"/>
                <w:szCs w:val="18"/>
              </w:rPr>
              <w:t xml:space="preserve"> 计划在本月底开始生产，预计在今年第三季度实现首次销售。计划在 2021 年生产 25 000 至 28 000 吨铜金属和 790 000 至 810 000 盎司金属银。</w:t>
            </w:r>
          </w:p>
        </w:tc>
      </w:tr>
      <w:tr w:rsidR="00CF6558">
        <w:trPr>
          <w:trHeight w:val="480"/>
        </w:trPr>
        <w:tc>
          <w:tcPr>
            <w:tcW w:w="10100" w:type="dxa"/>
          </w:tcPr>
          <w:p w:rsidR="00CF6558" w:rsidRDefault="00653621">
            <w:pPr>
              <w:spacing w:line="340" w:lineRule="exact"/>
              <w:ind w:left="-45"/>
              <w:jc w:val="center"/>
            </w:pPr>
            <w:r>
              <w:rPr>
                <w:rFonts w:hint="eastAsia"/>
              </w:rPr>
              <w:t>能源化工产业链</w:t>
            </w:r>
          </w:p>
        </w:tc>
      </w:tr>
      <w:tr w:rsidR="00CF6558">
        <w:trPr>
          <w:trHeight w:val="452"/>
        </w:trPr>
        <w:tc>
          <w:tcPr>
            <w:tcW w:w="10100" w:type="dxa"/>
          </w:tcPr>
          <w:p w:rsidR="00537CE2" w:rsidRDefault="00537CE2" w:rsidP="00537CE2">
            <w:r>
              <w:rPr>
                <w:rFonts w:hint="eastAsia"/>
              </w:rPr>
              <w:t>1</w:t>
            </w:r>
            <w:r>
              <w:rPr>
                <w:rFonts w:hint="eastAsia"/>
              </w:rPr>
              <w:t>、美国能源信息署</w:t>
            </w:r>
            <w:r>
              <w:rPr>
                <w:rFonts w:hint="eastAsia"/>
              </w:rPr>
              <w:t>(EIA)</w:t>
            </w:r>
            <w:r>
              <w:rPr>
                <w:rFonts w:hint="eastAsia"/>
              </w:rPr>
              <w:t>周四公布，截至</w:t>
            </w:r>
            <w:r>
              <w:rPr>
                <w:rFonts w:hint="eastAsia"/>
              </w:rPr>
              <w:t>5</w:t>
            </w:r>
            <w:r>
              <w:rPr>
                <w:rFonts w:hint="eastAsia"/>
              </w:rPr>
              <w:t>月</w:t>
            </w:r>
            <w:r>
              <w:rPr>
                <w:rFonts w:hint="eastAsia"/>
              </w:rPr>
              <w:t>28</w:t>
            </w:r>
            <w:r>
              <w:rPr>
                <w:rFonts w:hint="eastAsia"/>
              </w:rPr>
              <w:t>日当周，美国原油库存减少</w:t>
            </w:r>
            <w:r>
              <w:rPr>
                <w:rFonts w:hint="eastAsia"/>
              </w:rPr>
              <w:t>510</w:t>
            </w:r>
            <w:r>
              <w:rPr>
                <w:rFonts w:hint="eastAsia"/>
              </w:rPr>
              <w:t>万桶。由于周一是美国阵亡将士纪念日，供应数据比平时晚一天发布，预期为减少约</w:t>
            </w:r>
            <w:r>
              <w:rPr>
                <w:rFonts w:hint="eastAsia"/>
              </w:rPr>
              <w:t>240</w:t>
            </w:r>
            <w:r>
              <w:rPr>
                <w:rFonts w:hint="eastAsia"/>
              </w:rPr>
              <w:t>万桶。</w:t>
            </w:r>
          </w:p>
          <w:p w:rsidR="00537CE2" w:rsidRDefault="00537CE2" w:rsidP="00537CE2">
            <w:r>
              <w:rPr>
                <w:rFonts w:hint="eastAsia"/>
              </w:rPr>
              <w:t>2</w:t>
            </w:r>
            <w:r>
              <w:rPr>
                <w:rFonts w:hint="eastAsia"/>
              </w:rPr>
              <w:t>、有文件显示，沙特阿拉伯提高了其出售给亚洲的大多数原油品级的</w:t>
            </w:r>
            <w:r>
              <w:rPr>
                <w:rFonts w:hint="eastAsia"/>
              </w:rPr>
              <w:t>7</w:t>
            </w:r>
            <w:r>
              <w:rPr>
                <w:rFonts w:hint="eastAsia"/>
              </w:rPr>
              <w:t>月官方销售价格</w:t>
            </w:r>
            <w:r>
              <w:rPr>
                <w:rFonts w:hint="eastAsia"/>
              </w:rPr>
              <w:t>(OSP)</w:t>
            </w:r>
            <w:r>
              <w:rPr>
                <w:rFonts w:hint="eastAsia"/>
              </w:rPr>
              <w:t>。它将出售给亚洲的旗舰阿拉伯轻质原油的</w:t>
            </w:r>
            <w:r>
              <w:rPr>
                <w:rFonts w:hint="eastAsia"/>
              </w:rPr>
              <w:t>7</w:t>
            </w:r>
            <w:r>
              <w:rPr>
                <w:rFonts w:hint="eastAsia"/>
              </w:rPr>
              <w:t>月</w:t>
            </w:r>
            <w:r>
              <w:rPr>
                <w:rFonts w:hint="eastAsia"/>
              </w:rPr>
              <w:t>OSP</w:t>
            </w:r>
            <w:r>
              <w:rPr>
                <w:rFonts w:hint="eastAsia"/>
              </w:rPr>
              <w:t>定在每桶较阿曼</w:t>
            </w:r>
            <w:r>
              <w:rPr>
                <w:rFonts w:hint="eastAsia"/>
              </w:rPr>
              <w:t>/</w:t>
            </w:r>
            <w:r>
              <w:rPr>
                <w:rFonts w:hint="eastAsia"/>
              </w:rPr>
              <w:t>迪拜平均价格升水</w:t>
            </w:r>
            <w:r>
              <w:rPr>
                <w:rFonts w:hint="eastAsia"/>
              </w:rPr>
              <w:t>1.90</w:t>
            </w:r>
            <w:r>
              <w:rPr>
                <w:rFonts w:hint="eastAsia"/>
              </w:rPr>
              <w:t>美元，比</w:t>
            </w:r>
            <w:r>
              <w:rPr>
                <w:rFonts w:hint="eastAsia"/>
              </w:rPr>
              <w:t>6</w:t>
            </w:r>
            <w:r>
              <w:rPr>
                <w:rFonts w:hint="eastAsia"/>
              </w:rPr>
              <w:t>月份提高了</w:t>
            </w:r>
            <w:r>
              <w:rPr>
                <w:rFonts w:hint="eastAsia"/>
              </w:rPr>
              <w:t>0.20</w:t>
            </w:r>
            <w:r>
              <w:rPr>
                <w:rFonts w:hint="eastAsia"/>
              </w:rPr>
              <w:t>美元。</w:t>
            </w:r>
          </w:p>
          <w:p w:rsidR="00537CE2" w:rsidRDefault="00537CE2" w:rsidP="00537CE2">
            <w:r>
              <w:rPr>
                <w:rFonts w:hint="eastAsia"/>
              </w:rPr>
              <w:t>3</w:t>
            </w:r>
            <w:r>
              <w:rPr>
                <w:rFonts w:hint="eastAsia"/>
              </w:rPr>
              <w:t>、摩根大通商品分析师在报告表示：“我们仍认为石油需求复苏主要是疫苗接种的作用。美国和欧洲的接种工作进展顺利。”但他们也指出，亚洲发达国家和新兴国家疫苗接种进度迟缓，表明“没有明确迹象显示该地区的社交距离限制措施短期内能够解除。”</w:t>
            </w:r>
          </w:p>
          <w:p w:rsidR="00537CE2" w:rsidRDefault="00537CE2" w:rsidP="00537CE2">
            <w:r>
              <w:rPr>
                <w:rFonts w:hint="eastAsia"/>
              </w:rPr>
              <w:t>4</w:t>
            </w:r>
            <w:r>
              <w:rPr>
                <w:rFonts w:hint="eastAsia"/>
              </w:rPr>
              <w:t>、俄罗斯两家主要石油公司的负责人预计，随着市场升温，</w:t>
            </w:r>
            <w:r>
              <w:rPr>
                <w:rFonts w:hint="eastAsia"/>
              </w:rPr>
              <w:t>OPEC+</w:t>
            </w:r>
            <w:r>
              <w:rPr>
                <w:rFonts w:hint="eastAsia"/>
              </w:rPr>
              <w:t>今年将进一步提高产量，最早可能是在</w:t>
            </w:r>
            <w:r>
              <w:rPr>
                <w:rFonts w:hint="eastAsia"/>
              </w:rPr>
              <w:t>7</w:t>
            </w:r>
            <w:r>
              <w:rPr>
                <w:rFonts w:hint="eastAsia"/>
              </w:rPr>
              <w:t>月会议上。俄罗斯第二大石油公司卢克石油的首席执行官</w:t>
            </w:r>
            <w:proofErr w:type="spellStart"/>
            <w:r>
              <w:rPr>
                <w:rFonts w:hint="eastAsia"/>
              </w:rPr>
              <w:t>Vagit</w:t>
            </w:r>
            <w:proofErr w:type="spellEnd"/>
            <w:r>
              <w:rPr>
                <w:rFonts w:hint="eastAsia"/>
              </w:rPr>
              <w:t xml:space="preserve"> </w:t>
            </w:r>
            <w:proofErr w:type="spellStart"/>
            <w:r>
              <w:rPr>
                <w:rFonts w:hint="eastAsia"/>
              </w:rPr>
              <w:t>Alekperov</w:t>
            </w:r>
            <w:proofErr w:type="spellEnd"/>
            <w:r>
              <w:rPr>
                <w:rFonts w:hint="eastAsia"/>
              </w:rPr>
              <w:t>说：“布伦特油价已经超过每桶</w:t>
            </w:r>
            <w:r>
              <w:rPr>
                <w:rFonts w:hint="eastAsia"/>
              </w:rPr>
              <w:t>70</w:t>
            </w:r>
            <w:r>
              <w:rPr>
                <w:rFonts w:hint="eastAsia"/>
              </w:rPr>
              <w:t>美元，随着消费增长，有必要提高产量。许多国家正在退出新冠疫情期间实施的限制，欧洲和俄罗斯的汽油（消费量）已经达到</w:t>
            </w:r>
            <w:r>
              <w:rPr>
                <w:rFonts w:hint="eastAsia"/>
              </w:rPr>
              <w:t>2019</w:t>
            </w:r>
            <w:r>
              <w:rPr>
                <w:rFonts w:hint="eastAsia"/>
              </w:rPr>
              <w:t>年的水平。美国的国内航班已增加到接近疫情前的水平。因此将需要额外的燃料。希望</w:t>
            </w:r>
            <w:r>
              <w:rPr>
                <w:rFonts w:hint="eastAsia"/>
              </w:rPr>
              <w:t>OPEC+</w:t>
            </w:r>
            <w:r>
              <w:rPr>
                <w:rFonts w:hint="eastAsia"/>
              </w:rPr>
              <w:t>每季度至少增产</w:t>
            </w:r>
            <w:r>
              <w:rPr>
                <w:rFonts w:hint="eastAsia"/>
              </w:rPr>
              <w:t>50</w:t>
            </w:r>
            <w:r>
              <w:rPr>
                <w:rFonts w:hint="eastAsia"/>
              </w:rPr>
              <w:t>万桶</w:t>
            </w:r>
            <w:r>
              <w:rPr>
                <w:rFonts w:hint="eastAsia"/>
              </w:rPr>
              <w:t>/</w:t>
            </w:r>
            <w:r>
              <w:rPr>
                <w:rFonts w:hint="eastAsia"/>
              </w:rPr>
              <w:t>日，以满足额外的需求。我们不应纵容价格大幅上涨”。</w:t>
            </w:r>
          </w:p>
          <w:p w:rsidR="00CF36E8" w:rsidRPr="009F3CDD" w:rsidRDefault="00537CE2" w:rsidP="00537CE2">
            <w:pPr>
              <w:rPr>
                <w:rFonts w:ascii="宋体" w:hAnsi="宋体" w:cs="宋体"/>
                <w:color w:val="333333"/>
                <w:spacing w:val="10"/>
                <w:sz w:val="18"/>
                <w:szCs w:val="18"/>
              </w:rPr>
            </w:pPr>
            <w:r>
              <w:rPr>
                <w:rFonts w:hint="eastAsia"/>
              </w:rPr>
              <w:t>5</w:t>
            </w:r>
            <w:r>
              <w:rPr>
                <w:rFonts w:hint="eastAsia"/>
              </w:rPr>
              <w:t>、在过去两年中，美国石油生产商在降低成本方面取得了相当成功的成绩，尤其是页岩油生产商。按产量加权后，</w:t>
            </w:r>
            <w:r>
              <w:rPr>
                <w:rFonts w:hint="eastAsia"/>
              </w:rPr>
              <w:t>11</w:t>
            </w:r>
            <w:r>
              <w:rPr>
                <w:rFonts w:hint="eastAsia"/>
              </w:rPr>
              <w:t>家美国页岩油生产商的单位成本中值从</w:t>
            </w:r>
            <w:r>
              <w:rPr>
                <w:rFonts w:hint="eastAsia"/>
              </w:rPr>
              <w:t>2019</w:t>
            </w:r>
            <w:r>
              <w:rPr>
                <w:rFonts w:hint="eastAsia"/>
              </w:rPr>
              <w:t>年第一季度的</w:t>
            </w:r>
            <w:r>
              <w:rPr>
                <w:rFonts w:hint="eastAsia"/>
              </w:rPr>
              <w:t>30.80</w:t>
            </w:r>
            <w:r>
              <w:rPr>
                <w:rFonts w:hint="eastAsia"/>
              </w:rPr>
              <w:t>美元</w:t>
            </w:r>
            <w:r>
              <w:rPr>
                <w:rFonts w:hint="eastAsia"/>
              </w:rPr>
              <w:t>/</w:t>
            </w:r>
            <w:proofErr w:type="gramStart"/>
            <w:r>
              <w:rPr>
                <w:rFonts w:hint="eastAsia"/>
              </w:rPr>
              <w:t>桶下降</w:t>
            </w:r>
            <w:proofErr w:type="gramEnd"/>
            <w:r>
              <w:rPr>
                <w:rFonts w:hint="eastAsia"/>
              </w:rPr>
              <w:t>到</w:t>
            </w:r>
            <w:r>
              <w:rPr>
                <w:rFonts w:hint="eastAsia"/>
              </w:rPr>
              <w:t>2021</w:t>
            </w:r>
            <w:r>
              <w:rPr>
                <w:rFonts w:hint="eastAsia"/>
              </w:rPr>
              <w:t>年第一季度的</w:t>
            </w:r>
            <w:r>
              <w:rPr>
                <w:rFonts w:hint="eastAsia"/>
              </w:rPr>
              <w:t>25.60</w:t>
            </w:r>
            <w:r>
              <w:rPr>
                <w:rFonts w:hint="eastAsia"/>
              </w:rPr>
              <w:t>美元</w:t>
            </w:r>
            <w:r>
              <w:rPr>
                <w:rFonts w:hint="eastAsia"/>
              </w:rPr>
              <w:t>/</w:t>
            </w:r>
            <w:r>
              <w:rPr>
                <w:rFonts w:hint="eastAsia"/>
              </w:rPr>
              <w:t>桶，降幅达</w:t>
            </w:r>
            <w:r>
              <w:rPr>
                <w:rFonts w:hint="eastAsia"/>
              </w:rPr>
              <w:t>17%</w:t>
            </w:r>
            <w:r>
              <w:rPr>
                <w:rFonts w:hint="eastAsia"/>
              </w:rPr>
              <w:t>。</w:t>
            </w:r>
          </w:p>
        </w:tc>
      </w:tr>
      <w:tr w:rsidR="00CF6558">
        <w:trPr>
          <w:trHeight w:val="382"/>
        </w:trPr>
        <w:tc>
          <w:tcPr>
            <w:tcW w:w="10100" w:type="dxa"/>
          </w:tcPr>
          <w:p w:rsidR="00CF6558" w:rsidRPr="00674EA9" w:rsidRDefault="00653621">
            <w:pPr>
              <w:pBdr>
                <w:top w:val="none" w:sz="0" w:space="0" w:color="000000"/>
                <w:left w:val="none" w:sz="0" w:space="0" w:color="000000"/>
                <w:bottom w:val="none" w:sz="0" w:space="0" w:color="000000"/>
                <w:right w:val="none" w:sz="0" w:space="0" w:color="000000"/>
              </w:pBdr>
              <w:spacing w:line="340" w:lineRule="exact"/>
              <w:ind w:left="-45"/>
              <w:jc w:val="center"/>
            </w:pPr>
            <w:r w:rsidRPr="00674EA9">
              <w:rPr>
                <w:rFonts w:hint="eastAsia"/>
              </w:rPr>
              <w:t>农产品产业链</w:t>
            </w:r>
          </w:p>
        </w:tc>
      </w:tr>
      <w:tr w:rsidR="00CF6558">
        <w:trPr>
          <w:trHeight w:val="406"/>
        </w:trPr>
        <w:tc>
          <w:tcPr>
            <w:tcW w:w="10100" w:type="dxa"/>
          </w:tcPr>
          <w:p w:rsidR="00ED3265" w:rsidRPr="009F3CDD" w:rsidRDefault="00930431" w:rsidP="009D063D">
            <w:pPr>
              <w:rPr>
                <w:rFonts w:ascii="宋体" w:hAnsi="宋体" w:cs="宋体"/>
                <w:color w:val="333333"/>
                <w:spacing w:val="10"/>
                <w:sz w:val="18"/>
                <w:szCs w:val="18"/>
              </w:rPr>
            </w:pPr>
            <w:r>
              <w:t>1</w:t>
            </w:r>
            <w:r>
              <w:t>、　国家粮油信息中心数据显示：预测</w:t>
            </w:r>
            <w:r>
              <w:t>2021/22</w:t>
            </w:r>
            <w:r>
              <w:t>年度我国食用植物油生产量</w:t>
            </w:r>
            <w:r>
              <w:t>3173</w:t>
            </w:r>
            <w:r>
              <w:t>万吨，同比增加</w:t>
            </w:r>
            <w:r>
              <w:t>88</w:t>
            </w:r>
            <w:r>
              <w:t>万吨</w:t>
            </w:r>
            <w:r>
              <w:t>;</w:t>
            </w:r>
            <w:r>
              <w:t>进</w:t>
            </w:r>
            <w:r>
              <w:lastRenderedPageBreak/>
              <w:t>口量</w:t>
            </w:r>
            <w:r>
              <w:t>1136</w:t>
            </w:r>
            <w:r>
              <w:t>万吨，同比增加</w:t>
            </w:r>
            <w:r>
              <w:t>13</w:t>
            </w:r>
            <w:r>
              <w:t>万吨。年度食用植物油食用消费量</w:t>
            </w:r>
            <w:r>
              <w:t>3757</w:t>
            </w:r>
            <w:r>
              <w:t>万吨，同比增加</w:t>
            </w:r>
            <w:r>
              <w:t>89</w:t>
            </w:r>
            <w:r>
              <w:t>万吨，增幅</w:t>
            </w:r>
            <w:r>
              <w:t>2.4%;</w:t>
            </w:r>
            <w:r>
              <w:t>工业及其他消费</w:t>
            </w:r>
            <w:r>
              <w:t>508</w:t>
            </w:r>
            <w:r>
              <w:t>万吨，同比增加</w:t>
            </w:r>
            <w:r>
              <w:t>11</w:t>
            </w:r>
            <w:r>
              <w:t>万吨。年度食用植物油供需结余</w:t>
            </w:r>
            <w:r>
              <w:t>29</w:t>
            </w:r>
            <w:r>
              <w:t>万吨。（生意社）</w:t>
            </w:r>
            <w:r>
              <w:br/>
              <w:t>2</w:t>
            </w:r>
            <w:r>
              <w:t>、巴西咨询机构</w:t>
            </w:r>
            <w:proofErr w:type="spellStart"/>
            <w:r>
              <w:t>Datagro</w:t>
            </w:r>
            <w:proofErr w:type="spellEnd"/>
            <w:r>
              <w:t>发布报告，将</w:t>
            </w:r>
            <w:r>
              <w:t>2020/21</w:t>
            </w:r>
            <w:r>
              <w:t>年度巴西大豆产量预测数据上调到</w:t>
            </w:r>
            <w:r>
              <w:t>1.3696</w:t>
            </w:r>
            <w:r>
              <w:t>亿吨，高于早先预测的</w:t>
            </w:r>
            <w:r>
              <w:t>1.3634</w:t>
            </w:r>
            <w:r>
              <w:t>亿吨。（我的农产品网）</w:t>
            </w:r>
            <w:r>
              <w:br/>
              <w:t>3</w:t>
            </w:r>
            <w:r>
              <w:t>、巴西正在经历近一个世纪以来最严重的水源危机，这可能影响内河运输，导致大豆等大宗商品的河运成本提高。（我的农产品网）</w:t>
            </w:r>
            <w:r>
              <w:br/>
              <w:t>4</w:t>
            </w:r>
            <w:r>
              <w:t>、印尼生物柴油生产商协会</w:t>
            </w:r>
            <w:r>
              <w:t>(</w:t>
            </w:r>
            <w:proofErr w:type="spellStart"/>
            <w:r>
              <w:t>Aprobi</w:t>
            </w:r>
            <w:proofErr w:type="spellEnd"/>
            <w:r>
              <w:t>)</w:t>
            </w:r>
            <w:r>
              <w:t>发布的数据显示，</w:t>
            </w:r>
            <w:r>
              <w:t>2021</w:t>
            </w:r>
            <w:r>
              <w:t>年头四个月印尼生物柴油消费量为</w:t>
            </w:r>
            <w:r>
              <w:t>266.9</w:t>
            </w:r>
            <w:r>
              <w:t>万千公升（</w:t>
            </w:r>
            <w:r>
              <w:t>KL</w:t>
            </w:r>
            <w:r>
              <w:t>），比上年同期的</w:t>
            </w:r>
            <w:r>
              <w:t>290.7</w:t>
            </w:r>
            <w:r>
              <w:t>万千公升减少</w:t>
            </w:r>
            <w:r>
              <w:t>8.2%</w:t>
            </w:r>
            <w:r>
              <w:t>。（我的农产品网）</w:t>
            </w:r>
          </w:p>
        </w:tc>
      </w:tr>
      <w:tr w:rsidR="00CF6558">
        <w:trPr>
          <w:trHeight w:val="400"/>
        </w:trPr>
        <w:tc>
          <w:tcPr>
            <w:tcW w:w="10100" w:type="dxa"/>
          </w:tcPr>
          <w:p w:rsidR="00CF6558" w:rsidRPr="009F3CDD" w:rsidRDefault="00653621" w:rsidP="000D3C5F">
            <w:pPr>
              <w:pBdr>
                <w:top w:val="none" w:sz="0" w:space="0" w:color="000000"/>
                <w:left w:val="none" w:sz="0" w:space="0" w:color="000000"/>
                <w:bottom w:val="none" w:sz="0" w:space="0" w:color="000000"/>
                <w:right w:val="none" w:sz="0" w:space="0" w:color="000000"/>
              </w:pBdr>
              <w:jc w:val="center"/>
              <w:rPr>
                <w:rFonts w:ascii="宋体" w:hAnsi="宋体" w:cs="宋体"/>
                <w:color w:val="333333"/>
                <w:spacing w:val="10"/>
                <w:sz w:val="18"/>
                <w:szCs w:val="18"/>
              </w:rPr>
            </w:pPr>
            <w:proofErr w:type="gramStart"/>
            <w:r w:rsidRPr="00674EA9">
              <w:rPr>
                <w:rFonts w:hint="eastAsia"/>
              </w:rPr>
              <w:lastRenderedPageBreak/>
              <w:t>软商品</w:t>
            </w:r>
            <w:proofErr w:type="gramEnd"/>
          </w:p>
        </w:tc>
      </w:tr>
      <w:tr w:rsidR="00CF6558">
        <w:trPr>
          <w:trHeight w:val="90"/>
        </w:trPr>
        <w:tc>
          <w:tcPr>
            <w:tcW w:w="10100" w:type="dxa"/>
          </w:tcPr>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1、随着6月份滑准税配额开始使用，港口美金现货资源或受到市场青睐，港口美金资源或将转为国内新的棉花供应，内外价差也将承压回落。（中国棉花网）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2、东南亚疫情逐渐恶化（越南发现的新型变种还非常容易通过空气传播），因此预计6-10月份仍将有大量的欧美日韩等国订单从东南亚、南亚各国溢出，回流。（中国棉花网）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3、5月份以来，美</w:t>
            </w:r>
            <w:proofErr w:type="gramStart"/>
            <w:r w:rsidRPr="00953C5E">
              <w:rPr>
                <w:rFonts w:ascii="宋体" w:hAnsi="宋体" w:cs="宋体" w:hint="eastAsia"/>
                <w:color w:val="333333"/>
                <w:spacing w:val="10"/>
                <w:sz w:val="18"/>
                <w:szCs w:val="18"/>
              </w:rPr>
              <w:t>棉国内</w:t>
            </w:r>
            <w:proofErr w:type="gramEnd"/>
            <w:r w:rsidRPr="00953C5E">
              <w:rPr>
                <w:rFonts w:ascii="宋体" w:hAnsi="宋体" w:cs="宋体" w:hint="eastAsia"/>
                <w:color w:val="333333"/>
                <w:spacing w:val="10"/>
                <w:sz w:val="18"/>
                <w:szCs w:val="18"/>
              </w:rPr>
              <w:t>现货和</w:t>
            </w:r>
            <w:proofErr w:type="spellStart"/>
            <w:r w:rsidRPr="00953C5E">
              <w:rPr>
                <w:rFonts w:ascii="宋体" w:hAnsi="宋体" w:cs="宋体" w:hint="eastAsia"/>
                <w:color w:val="333333"/>
                <w:spacing w:val="10"/>
                <w:sz w:val="18"/>
                <w:szCs w:val="18"/>
              </w:rPr>
              <w:t>Ctk</w:t>
            </w:r>
            <w:proofErr w:type="spellEnd"/>
            <w:r w:rsidRPr="00953C5E">
              <w:rPr>
                <w:rFonts w:ascii="宋体" w:hAnsi="宋体" w:cs="宋体" w:hint="eastAsia"/>
                <w:color w:val="333333"/>
                <w:spacing w:val="10"/>
                <w:sz w:val="18"/>
                <w:szCs w:val="18"/>
              </w:rPr>
              <w:t xml:space="preserve"> A指数均出现不同程度回落，而印度国内棉花现货价格指数却大幅上涨6.6%，这是除巴基斯坦棉花之后的第二大涨幅品种。（纺织资讯）</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4、国际棉花咨询委员会(ICAC)6月全球产需预测认为，2021/22年度全球棉花产量增长5%达到2550万吨，消费量增长2%为2530万吨,期末库存小幅减少到2200万吨。（华瑞信息）</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5、美国商品期货交易委员会（CFTC）周五公布的数据显示，截至5月25日当周，基金经理及对冲基金减持ICE原糖期货及期权净多头头寸13,185手，至162,733手；减持ICE棉花期货及期权净多头头寸7,186手至42,094手。（农产品期货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6、5月份越南国内食糖批发价格上涨，最新的批发价是16500-16700越南盾/公斤，约合720-730 美元/吨，较一个月前上涨了10-12%。（农产品期货网）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7、印度政府出台新规划：2023年后新能源汽车燃油中混合使用20%的乙醇，有望改变印度蔗糖产业的结构性问题。（云南糖网）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8、巴西发布水资源紧缺警报状态，并归类为“严重”。这是巴西1910年以来首次触发此类警报。受干旱天气的预期影响，咖啡期货达到了2016年11月以来的最高点。原糖期货价格同样受益上行。（云南糖网）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9、截至2021年5月底，本制糖期全国共生产食糖1066.05万吨（上期产糖1040.72万吨）；本期全国累计销售食糖589.26万吨（上期631.09万吨），累计</w:t>
            </w:r>
            <w:proofErr w:type="gramStart"/>
            <w:r w:rsidRPr="00953C5E">
              <w:rPr>
                <w:rFonts w:ascii="宋体" w:hAnsi="宋体" w:cs="宋体" w:hint="eastAsia"/>
                <w:color w:val="333333"/>
                <w:spacing w:val="10"/>
                <w:sz w:val="18"/>
                <w:szCs w:val="18"/>
              </w:rPr>
              <w:t>销糖率</w:t>
            </w:r>
            <w:proofErr w:type="gramEnd"/>
            <w:r w:rsidRPr="00953C5E">
              <w:rPr>
                <w:rFonts w:ascii="宋体" w:hAnsi="宋体" w:cs="宋体" w:hint="eastAsia"/>
                <w:color w:val="333333"/>
                <w:spacing w:val="10"/>
                <w:sz w:val="18"/>
                <w:szCs w:val="18"/>
              </w:rPr>
              <w:t>55.28%（上期60.64%）。（糖业协会）</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10、因印度和泰国等产糖国产量的增加将超过巴西产量的减少，全球</w:t>
            </w:r>
            <w:proofErr w:type="gramStart"/>
            <w:r w:rsidRPr="00953C5E">
              <w:rPr>
                <w:rFonts w:ascii="宋体" w:hAnsi="宋体" w:cs="宋体" w:hint="eastAsia"/>
                <w:color w:val="333333"/>
                <w:spacing w:val="10"/>
                <w:sz w:val="18"/>
                <w:szCs w:val="18"/>
              </w:rPr>
              <w:t>糖市场</w:t>
            </w:r>
            <w:proofErr w:type="gramEnd"/>
            <w:r w:rsidRPr="00953C5E">
              <w:rPr>
                <w:rFonts w:ascii="宋体" w:hAnsi="宋体" w:cs="宋体" w:hint="eastAsia"/>
                <w:color w:val="333333"/>
                <w:spacing w:val="10"/>
                <w:sz w:val="18"/>
                <w:szCs w:val="18"/>
              </w:rPr>
              <w:t>预计将在2021/22年度(10月至9月)从本年度的短缺转向小幅过剩，预计2021/22年度全球将出现170万吨的过剩，而2020/21年度为短缺370万吨。（农产品期货网）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11、截至周四，海南产区国营厂原料胶水收购价至12500-12700元/吨（</w:t>
            </w:r>
            <w:proofErr w:type="gramStart"/>
            <w:r w:rsidRPr="00953C5E">
              <w:rPr>
                <w:rFonts w:ascii="宋体" w:hAnsi="宋体" w:cs="宋体" w:hint="eastAsia"/>
                <w:color w:val="333333"/>
                <w:spacing w:val="10"/>
                <w:sz w:val="18"/>
                <w:szCs w:val="18"/>
              </w:rPr>
              <w:t>制浓乳</w:t>
            </w:r>
            <w:proofErr w:type="gramEnd"/>
            <w:r w:rsidRPr="00953C5E">
              <w:rPr>
                <w:rFonts w:ascii="宋体" w:hAnsi="宋体" w:cs="宋体" w:hint="eastAsia"/>
                <w:color w:val="333333"/>
                <w:spacing w:val="10"/>
                <w:sz w:val="18"/>
                <w:szCs w:val="18"/>
              </w:rPr>
              <w:t>），较上周四下跌1300元/吨；胶水收购指导价为12300元/吨（制全乳），较上周四跌700元/吨。（天然橡胶网）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12、马来西亚政府封</w:t>
            </w:r>
            <w:proofErr w:type="gramStart"/>
            <w:r w:rsidRPr="00953C5E">
              <w:rPr>
                <w:rFonts w:ascii="宋体" w:hAnsi="宋体" w:cs="宋体" w:hint="eastAsia"/>
                <w:color w:val="333333"/>
                <w:spacing w:val="10"/>
                <w:sz w:val="18"/>
                <w:szCs w:val="18"/>
              </w:rPr>
              <w:t>城措施</w:t>
            </w:r>
            <w:proofErr w:type="gramEnd"/>
            <w:r w:rsidRPr="00953C5E">
              <w:rPr>
                <w:rFonts w:ascii="宋体" w:hAnsi="宋体" w:cs="宋体" w:hint="eastAsia"/>
                <w:color w:val="333333"/>
                <w:spacing w:val="10"/>
                <w:sz w:val="18"/>
                <w:szCs w:val="18"/>
              </w:rPr>
              <w:t>对泰国橡胶出口没有影响，该国乳胶手套工厂仍正常开工，并完成最后一批橡胶的交付。而全球市场对橡胶的需求依然很大，并推动橡胶价格上扬。（天然橡胶网）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13、中汽协公布，5月上中旬，国内11家重点汽车企业完成生产98.3万辆，同比下降10.7%。其中，乘用车减少9.9%，商用</w:t>
            </w:r>
            <w:proofErr w:type="gramStart"/>
            <w:r w:rsidRPr="00953C5E">
              <w:rPr>
                <w:rFonts w:ascii="宋体" w:hAnsi="宋体" w:cs="宋体" w:hint="eastAsia"/>
                <w:color w:val="333333"/>
                <w:spacing w:val="10"/>
                <w:sz w:val="18"/>
                <w:szCs w:val="18"/>
              </w:rPr>
              <w:t>车减少</w:t>
            </w:r>
            <w:proofErr w:type="gramEnd"/>
            <w:r w:rsidRPr="00953C5E">
              <w:rPr>
                <w:rFonts w:ascii="宋体" w:hAnsi="宋体" w:cs="宋体" w:hint="eastAsia"/>
                <w:color w:val="333333"/>
                <w:spacing w:val="10"/>
                <w:sz w:val="18"/>
                <w:szCs w:val="18"/>
              </w:rPr>
              <w:t>14.1%。</w:t>
            </w:r>
            <w:proofErr w:type="gramStart"/>
            <w:r w:rsidRPr="00953C5E">
              <w:rPr>
                <w:rFonts w:ascii="宋体" w:hAnsi="宋体" w:cs="宋体" w:hint="eastAsia"/>
                <w:color w:val="333333"/>
                <w:spacing w:val="10"/>
                <w:sz w:val="18"/>
                <w:szCs w:val="18"/>
              </w:rPr>
              <w:t>5月重卡销量</w:t>
            </w:r>
            <w:proofErr w:type="gramEnd"/>
            <w:r w:rsidRPr="00953C5E">
              <w:rPr>
                <w:rFonts w:ascii="宋体" w:hAnsi="宋体" w:cs="宋体" w:hint="eastAsia"/>
                <w:color w:val="333333"/>
                <w:spacing w:val="10"/>
                <w:sz w:val="18"/>
                <w:szCs w:val="18"/>
              </w:rPr>
              <w:t>预计将出现今年以来的首次下滑。（橡胶技术网）</w:t>
            </w:r>
          </w:p>
          <w:p w:rsidR="00953C5E" w:rsidRPr="00953C5E" w:rsidRDefault="00953C5E" w:rsidP="00953C5E">
            <w:pPr>
              <w:rPr>
                <w:rFonts w:ascii="宋体" w:hAnsi="宋体" w:cs="宋体" w:hint="eastAsia"/>
                <w:color w:val="333333"/>
                <w:spacing w:val="10"/>
                <w:sz w:val="18"/>
                <w:szCs w:val="18"/>
              </w:rPr>
            </w:pPr>
            <w:r w:rsidRPr="00953C5E">
              <w:rPr>
                <w:rFonts w:ascii="宋体" w:hAnsi="宋体" w:cs="宋体" w:hint="eastAsia"/>
                <w:color w:val="333333"/>
                <w:spacing w:val="10"/>
                <w:sz w:val="18"/>
                <w:szCs w:val="18"/>
              </w:rPr>
              <w:t>14、作为全世界最大的橡胶生产地区，东南亚的橡胶供应决定着下游轮胎产业的兴衰，而疫情使得东南亚地区几近停摆，国内轮胎行业赖以生存的橡胶供应链有可能中断。（橡胶技术网）</w:t>
            </w:r>
          </w:p>
          <w:p w:rsidR="00CF6558" w:rsidRPr="00953C5E" w:rsidRDefault="00953C5E" w:rsidP="00953C5E">
            <w:pPr>
              <w:rPr>
                <w:rFonts w:ascii="inherit" w:hAnsi="inherit" w:hint="eastAsia"/>
                <w:color w:val="000000"/>
                <w:kern w:val="0"/>
                <w:szCs w:val="21"/>
              </w:rPr>
            </w:pPr>
            <w:r w:rsidRPr="00953C5E">
              <w:rPr>
                <w:rFonts w:ascii="宋体" w:hAnsi="宋体" w:cs="宋体" w:hint="eastAsia"/>
                <w:color w:val="333333"/>
                <w:spacing w:val="10"/>
                <w:sz w:val="18"/>
                <w:szCs w:val="18"/>
              </w:rPr>
              <w:t>15、传闻山东部分地区受环保督察影响开工受阻，且发泡制品订单情况较差导致生产企业开工意愿降低。（WIND）</w:t>
            </w:r>
            <w:bookmarkStart w:id="4" w:name="_GoBack"/>
            <w:bookmarkEnd w:id="4"/>
          </w:p>
        </w:tc>
      </w:tr>
    </w:tbl>
    <w:p w:rsidR="00CF6558" w:rsidRDefault="00CF6558">
      <w:pPr>
        <w:pStyle w:val="19"/>
        <w:widowControl/>
        <w:tabs>
          <w:tab w:val="left" w:pos="8595"/>
        </w:tabs>
        <w:spacing w:line="300" w:lineRule="auto"/>
        <w:ind w:firstLineChars="0" w:firstLine="0"/>
        <w:jc w:val="left"/>
        <w:rPr>
          <w:rFonts w:ascii="宋体" w:hAnsi="宋体"/>
          <w:kern w:val="0"/>
          <w:sz w:val="20"/>
        </w:rPr>
      </w:pPr>
    </w:p>
    <w:p w:rsidR="00CF6558" w:rsidRDefault="00653621">
      <w:pPr>
        <w:pStyle w:val="19"/>
        <w:widowControl/>
        <w:tabs>
          <w:tab w:val="left" w:pos="720"/>
          <w:tab w:val="left" w:pos="8595"/>
        </w:tabs>
        <w:spacing w:line="300" w:lineRule="auto"/>
        <w:ind w:firstLineChars="0" w:firstLine="0"/>
        <w:jc w:val="left"/>
        <w:rPr>
          <w:rFonts w:ascii="黑体" w:eastAsia="黑体" w:hAnsi="宋体"/>
          <w:color w:val="000000"/>
          <w:sz w:val="24"/>
        </w:rPr>
      </w:pPr>
      <w:r>
        <w:br w:type="page"/>
      </w:r>
      <w:bookmarkEnd w:id="3"/>
      <w:r>
        <w:rPr>
          <w:rFonts w:ascii="宋体" w:hAnsi="宋体"/>
          <w:kern w:val="0"/>
          <w:sz w:val="20"/>
        </w:rPr>
        <w:lastRenderedPageBreak/>
        <w:tab/>
      </w:r>
      <w:r>
        <w:rPr>
          <w:rFonts w:ascii="黑体" w:eastAsia="黑体" w:hAnsi="宋体" w:hint="eastAsia"/>
          <w:color w:val="000000"/>
          <w:sz w:val="24"/>
        </w:rPr>
        <w:t>免责声明：</w:t>
      </w:r>
    </w:p>
    <w:p w:rsidR="00CF6558" w:rsidRDefault="00653621">
      <w:pPr>
        <w:spacing w:line="340" w:lineRule="exact"/>
        <w:ind w:firstLineChars="200" w:firstLine="420"/>
        <w:rPr>
          <w:rFonts w:ascii="宋体" w:hAnsi="宋体"/>
          <w:color w:val="000000"/>
        </w:rPr>
      </w:pPr>
      <w:r>
        <w:rPr>
          <w:rFonts w:ascii="宋体" w:hAnsi="宋体" w:hint="eastAsia"/>
          <w:color w:val="000000"/>
        </w:rPr>
        <w:t>1.本报告中的信息均来源于可信的公开资料或实地调研资料，我公司对这些信息的准确性及完整性不作任何保证，也不保证所包含的信息和建议不会发生任何变更。我们已力求报告内容的客观、公正，但文中的观点、结论和建议仅供参考，在任何情况下，报告中的信息或所表达的意见并不构成所述期货买卖的出价</w:t>
      </w:r>
      <w:proofErr w:type="gramStart"/>
      <w:r>
        <w:rPr>
          <w:rFonts w:ascii="宋体" w:hAnsi="宋体" w:hint="eastAsia"/>
          <w:color w:val="000000"/>
        </w:rPr>
        <w:t>或征价</w:t>
      </w:r>
      <w:proofErr w:type="gramEnd"/>
      <w:r>
        <w:rPr>
          <w:rFonts w:ascii="宋体" w:hAnsi="宋体" w:hint="eastAsia"/>
          <w:color w:val="000000"/>
        </w:rPr>
        <w:t>，投资者据此</w:t>
      </w:r>
      <w:proofErr w:type="gramStart"/>
      <w:r>
        <w:rPr>
          <w:rFonts w:ascii="宋体" w:hAnsi="宋体" w:hint="eastAsia"/>
          <w:color w:val="000000"/>
        </w:rPr>
        <w:t>作出</w:t>
      </w:r>
      <w:proofErr w:type="gramEnd"/>
      <w:r>
        <w:rPr>
          <w:rFonts w:ascii="宋体" w:hAnsi="宋体" w:hint="eastAsia"/>
          <w:color w:val="000000"/>
        </w:rPr>
        <w:t>的任何投资决策与本公司和作者无关，请投资者务必独立进行交易决策。我公司不对交易结果做任何保证，不对因本报告的内容而引致的损失承担任何责任。</w:t>
      </w:r>
    </w:p>
    <w:p w:rsidR="00CF6558" w:rsidRDefault="00653621">
      <w:pPr>
        <w:spacing w:line="340" w:lineRule="exact"/>
        <w:ind w:firstLineChars="200" w:firstLine="420"/>
        <w:rPr>
          <w:rFonts w:ascii="宋体" w:hAnsi="宋体"/>
          <w:color w:val="000000"/>
        </w:rPr>
      </w:pPr>
      <w:r>
        <w:rPr>
          <w:rFonts w:ascii="宋体" w:hAnsi="宋体" w:hint="eastAsia"/>
          <w:color w:val="000000"/>
        </w:rPr>
        <w:t>2.市场具有不确定性，过往策略观点的吻合并不保证当前策略观点的正确。公司及其他研究员可能发表与本策略观点不同甚至相反的意见。报告所载资料、意见及推测仅反映研究人员于发出本报告当日的判断，可随时更改且无需另行通告。</w:t>
      </w:r>
    </w:p>
    <w:p w:rsidR="00CF6558" w:rsidRDefault="00653621">
      <w:pPr>
        <w:spacing w:line="340" w:lineRule="exact"/>
        <w:ind w:firstLineChars="200" w:firstLine="420"/>
        <w:rPr>
          <w:rFonts w:ascii="宋体" w:hAnsi="宋体"/>
          <w:color w:val="000000"/>
        </w:rPr>
      </w:pPr>
      <w:r>
        <w:rPr>
          <w:rFonts w:ascii="宋体" w:hAnsi="宋体" w:hint="eastAsia"/>
          <w:color w:val="000000"/>
        </w:rPr>
        <w:t>3.在法律范围内，公司或关联机构可能会就涉及的品种进行交易，或可能为其他公司交易提供服务。</w:t>
      </w:r>
    </w:p>
    <w:p w:rsidR="00CF6558" w:rsidRDefault="00653621">
      <w:pPr>
        <w:spacing w:line="340" w:lineRule="exact"/>
        <w:ind w:firstLineChars="200" w:firstLine="420"/>
        <w:rPr>
          <w:rFonts w:ascii="宋体" w:hAnsi="宋体"/>
          <w:color w:val="000000"/>
        </w:rPr>
      </w:pPr>
      <w:r>
        <w:rPr>
          <w:rFonts w:ascii="宋体" w:hAnsi="宋体" w:hint="eastAsia"/>
          <w:color w:val="000000"/>
        </w:rPr>
        <w:t>4.本报告版权仅为浙江新世纪期货有限公司所有。未经事先书面许可，任何机构和个人不得以任何形式翻版、复制、刊登、转载和引用，否则由此造成的一切不良后果及法律责任由私自翻版、复制、刊登、转载和引用者承担。</w:t>
      </w:r>
    </w:p>
    <w:p w:rsidR="00B15F78" w:rsidRDefault="00B15F78">
      <w:pPr>
        <w:spacing w:line="340" w:lineRule="exact"/>
        <w:ind w:firstLineChars="200" w:firstLine="420"/>
        <w:rPr>
          <w:rFonts w:ascii="宋体" w:hAnsi="宋体"/>
          <w:color w:val="000000"/>
        </w:rPr>
      </w:pPr>
    </w:p>
    <w:sectPr w:rsidR="00B15F78">
      <w:headerReference w:type="even" r:id="rId9"/>
      <w:headerReference w:type="default" r:id="rId10"/>
      <w:footerReference w:type="even" r:id="rId11"/>
      <w:footerReference w:type="default" r:id="rId12"/>
      <w:pgSz w:w="11906" w:h="16838"/>
      <w:pgMar w:top="1701" w:right="1274" w:bottom="1701" w:left="9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D35" w:rsidRDefault="00360D35">
      <w:r>
        <w:separator/>
      </w:r>
    </w:p>
  </w:endnote>
  <w:endnote w:type="continuationSeparator" w:id="0">
    <w:p w:rsidR="00360D35" w:rsidRDefault="0036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ˎ̥">
    <w:altName w:val="Times New Roman"/>
    <w:charset w:val="00"/>
    <w:family w:val="auto"/>
    <w:pitch w:val="default"/>
    <w:sig w:usb0="00000000" w:usb1="00000000" w:usb2="00000000" w:usb3="00000000" w:csb0="00040001" w:csb1="00000000"/>
  </w:font>
  <w:font w:name="Arial Black">
    <w:panose1 w:val="020B0A04020102020204"/>
    <w:charset w:val="00"/>
    <w:family w:val="swiss"/>
    <w:pitch w:val="variable"/>
    <w:sig w:usb0="A00002AF" w:usb1="400078FB" w:usb2="00000000" w:usb3="00000000" w:csb0="0000009F" w:csb1="00000000"/>
  </w:font>
  <w:font w:name="inherit">
    <w:altName w:val="Times New Roman"/>
    <w:charset w:val="00"/>
    <w:family w:val="roman"/>
    <w:pitch w:val="default"/>
  </w:font>
  <w:font w:name="Cambria">
    <w:altName w:val="Arial Unicode MS"/>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rPr>
        <w:b/>
        <w:i/>
        <w:sz w:val="21"/>
      </w:rPr>
    </w:pPr>
    <w:r>
      <w:rPr>
        <w:rFonts w:hint="eastAsia"/>
        <w:b/>
        <w:i/>
        <w:sz w:val="21"/>
      </w:rPr>
      <w:t>内部交流资料，仅供参考</w:t>
    </w:r>
    <w:r>
      <w:fldChar w:fldCharType="begin"/>
    </w:r>
    <w:r>
      <w:rPr>
        <w:rStyle w:val="aff8"/>
      </w:rPr>
      <w:instrText xml:space="preserve"> PAGE </w:instrText>
    </w:r>
    <w:r>
      <w:fldChar w:fldCharType="separate"/>
    </w:r>
    <w:r>
      <w:rPr>
        <w:rStyle w:val="aff8"/>
      </w:rP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9"/>
      <w:framePr w:wrap="around" w:vAnchor="text" w:hAnchor="page" w:x="10621" w:y="-182"/>
      <w:rPr>
        <w:rStyle w:val="aff8"/>
        <w:rFonts w:ascii="仿宋_GB2312" w:eastAsia="仿宋_GB2312" w:hAnsi="仿宋_GB2312"/>
        <w:color w:val="CC0000"/>
        <w:sz w:val="22"/>
      </w:rPr>
    </w:pPr>
    <w:r>
      <w:rPr>
        <w:rFonts w:ascii="仿宋_GB2312" w:eastAsia="仿宋_GB2312" w:hAnsi="仿宋_GB2312" w:hint="eastAsia"/>
        <w:b/>
        <w:color w:val="CC0000"/>
        <w:sz w:val="30"/>
      </w:rPr>
      <w:fldChar w:fldCharType="begin"/>
    </w:r>
    <w:r>
      <w:rPr>
        <w:rStyle w:val="aff8"/>
        <w:rFonts w:ascii="仿宋_GB2312" w:eastAsia="仿宋_GB2312" w:hAnsi="仿宋_GB2312" w:hint="eastAsia"/>
        <w:b/>
        <w:color w:val="CC0000"/>
        <w:sz w:val="30"/>
      </w:rPr>
      <w:instrText xml:space="preserve">PAGE  </w:instrText>
    </w:r>
    <w:r>
      <w:rPr>
        <w:rFonts w:ascii="仿宋_GB2312" w:eastAsia="仿宋_GB2312" w:hAnsi="仿宋_GB2312" w:hint="eastAsia"/>
        <w:b/>
        <w:color w:val="CC0000"/>
        <w:sz w:val="30"/>
      </w:rPr>
      <w:fldChar w:fldCharType="separate"/>
    </w:r>
    <w:r w:rsidR="00953C5E">
      <w:rPr>
        <w:rStyle w:val="aff8"/>
        <w:rFonts w:ascii="仿宋_GB2312" w:eastAsia="仿宋_GB2312" w:hAnsi="仿宋_GB2312"/>
        <w:b/>
        <w:noProof/>
        <w:color w:val="CC0000"/>
        <w:sz w:val="30"/>
      </w:rPr>
      <w:t>7</w:t>
    </w:r>
    <w:r>
      <w:rPr>
        <w:rFonts w:ascii="仿宋_GB2312" w:eastAsia="仿宋_GB2312" w:hAnsi="仿宋_GB2312" w:hint="eastAsia"/>
        <w:b/>
        <w:color w:val="CC0000"/>
        <w:sz w:val="30"/>
      </w:rPr>
      <w:fldChar w:fldCharType="end"/>
    </w:r>
  </w:p>
  <w:p w:rsidR="00CF6558" w:rsidRDefault="00653621">
    <w:pPr>
      <w:pStyle w:val="af9"/>
      <w:rPr>
        <w:sz w:val="21"/>
      </w:rPr>
    </w:pPr>
    <w:r>
      <w:rPr>
        <w:noProof/>
      </w:rPr>
      <mc:AlternateContent>
        <mc:Choice Requires="wps">
          <w:drawing>
            <wp:anchor distT="0" distB="0" distL="114300" distR="114300" simplePos="0" relativeHeight="251664384" behindDoc="0" locked="0" layoutInCell="1" allowOverlap="1">
              <wp:simplePos x="0" y="0"/>
              <wp:positionH relativeFrom="column">
                <wp:posOffset>6068695</wp:posOffset>
              </wp:positionH>
              <wp:positionV relativeFrom="page">
                <wp:posOffset>9599295</wp:posOffset>
              </wp:positionV>
              <wp:extent cx="342900" cy="297180"/>
              <wp:effectExtent l="0" t="0" r="19050" b="26670"/>
              <wp:wrapNone/>
              <wp:docPr id="8" name="Rectangle 8"/>
              <wp:cNvGraphicFramePr/>
              <a:graphic xmlns:a="http://schemas.openxmlformats.org/drawingml/2006/main">
                <a:graphicData uri="http://schemas.microsoft.com/office/word/2010/wordprocessingShape">
                  <wps:wsp>
                    <wps:cNvSpPr/>
                    <wps:spPr>
                      <a:xfrm>
                        <a:off x="0" y="0"/>
                        <a:ext cx="342900" cy="297180"/>
                      </a:xfrm>
                      <a:prstGeom prst="rect">
                        <a:avLst/>
                      </a:prstGeom>
                      <a:noFill/>
                      <a:ln w="25400" cap="flat" cmpd="sng">
                        <a:solidFill>
                          <a:srgbClr val="CC0000"/>
                        </a:solidFill>
                        <a:prstDash val="solid"/>
                        <a:miter/>
                        <a:headEnd type="none" w="med" len="med"/>
                        <a:tailEnd type="none" w="med" len="med"/>
                      </a:ln>
                      <a:effectLst/>
                    </wps:spPr>
                    <wps:bodyPr wrap="square" upright="1"/>
                  </wps:wsp>
                </a:graphicData>
              </a:graphic>
            </wp:anchor>
          </w:drawing>
        </mc:Choice>
        <mc:Fallback xmlns:wpsCustomData="http://www.wps.cn/officeDocument/2013/wpsCustomData">
          <w:pict>
            <v:rect id="Rectangle 8" o:spid="_x0000_s1026" o:spt="1" style="position:absolute;left:0pt;margin-left:477.85pt;margin-top:755.85pt;height:23.4pt;width:27pt;mso-position-vertical-relative:page;z-index:251664384;mso-width-relative:page;mso-height-relative:page;" filled="f" stroked="t" coordsize="21600,21600" o:gfxdata="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z+Y99sAAAAOAQAADwAAAAAAAAABACAAAAAiAAAAZHJzL2Rvd25y&#10;ZXYueG1sUEsBAhQAFAAAAAgAh07iQODD+Tf7AQAAFAQAAA4AAAAAAAAAAQAgAAAAKgEAAGRycy9l&#10;Mm9Eb2MueG1sUEsFBgAAAAAGAAYAWQEAAJcFAAAAAA==&#10;">
              <v:fill on="f" focussize="0,0"/>
              <v:stroke weight="2pt" color="#CC0000" joinstyle="miter"/>
              <v:imagedata o:title=""/>
              <o:lock v:ext="edit" aspectratio="f"/>
            </v:rect>
          </w:pict>
        </mc:Fallback>
      </mc:AlternateContent>
    </w:r>
    <w:r>
      <w:rPr>
        <w:noProof/>
        <w:sz w:val="20"/>
        <w:u w:val="thick"/>
      </w:rPr>
      <mc:AlternateContent>
        <mc:Choice Requires="wps">
          <w:drawing>
            <wp:anchor distT="0" distB="0" distL="114300" distR="114300" simplePos="0" relativeHeight="251663360" behindDoc="0" locked="0" layoutInCell="1" allowOverlap="1">
              <wp:simplePos x="0" y="0"/>
              <wp:positionH relativeFrom="column">
                <wp:posOffset>2066290</wp:posOffset>
              </wp:positionH>
              <wp:positionV relativeFrom="page">
                <wp:posOffset>9599295</wp:posOffset>
              </wp:positionV>
              <wp:extent cx="3995420" cy="297180"/>
              <wp:effectExtent l="0" t="0" r="24130" b="26670"/>
              <wp:wrapNone/>
              <wp:docPr id="7" name="Rectangle 7"/>
              <wp:cNvGraphicFramePr/>
              <a:graphic xmlns:a="http://schemas.openxmlformats.org/drawingml/2006/main">
                <a:graphicData uri="http://schemas.microsoft.com/office/word/2010/wordprocessingShape">
                  <wps:wsp>
                    <wps:cNvSpPr/>
                    <wps:spPr>
                      <a:xfrm>
                        <a:off x="0" y="0"/>
                        <a:ext cx="3995420" cy="297180"/>
                      </a:xfrm>
                      <a:prstGeom prst="rect">
                        <a:avLst/>
                      </a:prstGeom>
                      <a:solidFill>
                        <a:srgbClr val="CC0000"/>
                      </a:solidFill>
                      <a:ln w="25400" cap="flat" cmpd="sng">
                        <a:solidFill>
                          <a:srgbClr val="CC0000"/>
                        </a:solidFill>
                        <a:prstDash val="solid"/>
                        <a:miter/>
                        <a:headEnd type="none" w="med" len="med"/>
                        <a:tailEnd type="none" w="med" len="med"/>
                      </a:ln>
                      <a:effectLst/>
                    </wps:spPr>
                    <wps:txb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wps:txbx>
                    <wps:bodyPr wrap="square" upright="1"/>
                  </wps:wsp>
                </a:graphicData>
              </a:graphic>
            </wp:anchor>
          </w:drawing>
        </mc:Choice>
        <mc:Fallback>
          <w:pict>
            <v:rect id="Rectangle 7" o:spid="_x0000_s1028" style="position:absolute;margin-left:162.7pt;margin-top:755.85pt;width:314.6pt;height:23.4pt;z-index:25166336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" fillcolor="#c00" strokecolor="#c00" strokeweight="2pt">
              <v:textbox>
                <w:txbxContent>
                  <w:p w:rsidR="00CF6558" w:rsidRDefault="00653621">
                    <w:pPr>
                      <w:ind w:firstLineChars="150" w:firstLine="361"/>
                      <w:jc w:val="center"/>
                      <w:rPr>
                        <w:rFonts w:ascii="宋体" w:hAnsi="宋体"/>
                        <w:b/>
                        <w:color w:val="FFFFFF"/>
                        <w:sz w:val="24"/>
                      </w:rPr>
                    </w:pPr>
                    <w:r>
                      <w:rPr>
                        <w:rFonts w:ascii="宋体" w:hAnsi="宋体" w:hint="eastAsia"/>
                        <w:b/>
                        <w:color w:val="FFFFFF"/>
                        <w:sz w:val="24"/>
                      </w:rPr>
                      <w:t>期市有风险投资须谨慎</w:t>
                    </w:r>
                  </w:p>
                </w:txbxContent>
              </v:textbox>
              <w10:wrap anchory="page"/>
            </v:rect>
          </w:pict>
        </mc:Fallback>
      </mc:AlternateContent>
    </w:r>
  </w:p>
  <w:p w:rsidR="00CF6558" w:rsidRDefault="00653621">
    <w:pPr>
      <w:pStyle w:val="af9"/>
    </w:pPr>
    <w:r>
      <w:rPr>
        <w:noProof/>
      </w:rPr>
      <mc:AlternateContent>
        <mc:Choice Requires="wps">
          <w:drawing>
            <wp:anchor distT="0" distB="0" distL="114300" distR="114300" simplePos="0" relativeHeight="251665408" behindDoc="0" locked="0" layoutInCell="1" allowOverlap="1">
              <wp:simplePos x="0" y="0"/>
              <wp:positionH relativeFrom="column">
                <wp:posOffset>-243840</wp:posOffset>
              </wp:positionH>
              <wp:positionV relativeFrom="page">
                <wp:posOffset>9599295</wp:posOffset>
              </wp:positionV>
              <wp:extent cx="2286000" cy="297180"/>
              <wp:effectExtent l="0" t="0" r="19050" b="26670"/>
              <wp:wrapNone/>
              <wp:docPr id="9" name="Text Box 6"/>
              <wp:cNvGraphicFramePr/>
              <a:graphic xmlns:a="http://schemas.openxmlformats.org/drawingml/2006/main">
                <a:graphicData uri="http://schemas.microsoft.com/office/word/2010/wordprocessingShape">
                  <wps:wsp>
                    <wps:cNvSpPr txBox="1"/>
                    <wps:spPr>
                      <a:xfrm>
                        <a:off x="0" y="0"/>
                        <a:ext cx="2286000" cy="297180"/>
                      </a:xfrm>
                      <a:prstGeom prst="rect">
                        <a:avLst/>
                      </a:prstGeom>
                      <a:noFill/>
                      <a:ln w="25400" cap="flat" cmpd="sng">
                        <a:solidFill>
                          <a:srgbClr val="CC0000"/>
                        </a:solidFill>
                        <a:prstDash val="solid"/>
                        <a:miter/>
                        <a:headEnd type="none" w="med" len="med"/>
                        <a:tailEnd type="none" w="med" len="med"/>
                      </a:ln>
                      <a:effectLst/>
                    </wps:spPr>
                    <wps:txb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wps:txbx>
                    <wps:bodyPr wrap="square" upright="1"/>
                  </wps:wsp>
                </a:graphicData>
              </a:graphic>
            </wp:anchor>
          </w:drawing>
        </mc:Choice>
        <mc:Fallback>
          <w:pict>
            <v:shapetype id="_x0000_t202" coordsize="21600,21600" o:spt="202" path="m,l,21600r21600,l21600,xe">
              <v:stroke joinstyle="miter"/>
              <v:path gradientshapeok="t" o:connecttype="rect"/>
            </v:shapetype>
            <v:shape id="Text Box 6" o:spid="_x0000_s1029" type="#_x0000_t202" style="position:absolute;margin-left:-19.2pt;margin-top:755.85pt;width:180pt;height:23.4pt;z-index:2516654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" filled="f" strokecolor="#c00" strokeweight="2pt">
              <v:textbox>
                <w:txbxContent>
                  <w:p w:rsidR="00CF6558" w:rsidRDefault="00653621">
                    <w:pPr>
                      <w:jc w:val="center"/>
                      <w:rPr>
                        <w:rFonts w:ascii="宋体" w:hAnsi="宋体"/>
                        <w:b/>
                        <w:color w:val="CC0000"/>
                      </w:rPr>
                    </w:pPr>
                    <w:r>
                      <w:rPr>
                        <w:rFonts w:ascii="宋体" w:hAnsi="宋体" w:hint="eastAsia"/>
                        <w:b/>
                        <w:color w:val="CC0000"/>
                      </w:rPr>
                      <w:t>敬请参阅文后的免责声明</w:t>
                    </w:r>
                  </w:p>
                </w:txbxContent>
              </v:textbox>
              <w10:wrap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D35" w:rsidRDefault="00360D35">
      <w:r>
        <w:separator/>
      </w:r>
    </w:p>
  </w:footnote>
  <w:footnote w:type="continuationSeparator" w:id="0">
    <w:p w:rsidR="00360D35" w:rsidRDefault="00360D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pStyle w:val="afb"/>
    </w:pPr>
    <w:r>
      <w:rPr>
        <w:rFonts w:hint="eastAsia"/>
        <w:i/>
        <w:sz w:val="21"/>
      </w:rPr>
      <w:t>新世纪期货市场研发部</w:t>
    </w:r>
    <w:r>
      <w:rPr>
        <w:rFonts w:ascii="Times New Roman" w:hAnsi="Times New Roman"/>
        <w:i/>
        <w:sz w:val="21"/>
      </w:rPr>
      <w:t>http</w:t>
    </w:r>
    <w:r>
      <w:rPr>
        <w:rFonts w:ascii="Times New Roman"/>
        <w:i/>
        <w:sz w:val="21"/>
      </w:rPr>
      <w:t>：</w:t>
    </w:r>
    <w:r>
      <w:rPr>
        <w:rFonts w:ascii="Times New Roman" w:hAnsi="Times New Roman"/>
        <w:i/>
        <w:sz w:val="21"/>
      </w:rPr>
      <w:t>// www.zjncf.com.cn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558" w:rsidRDefault="00653621">
    <w:pPr>
      <w:rPr>
        <w:rFonts w:ascii="宋体" w:hAnsi="宋体"/>
        <w:kern w:val="0"/>
        <w:sz w:val="24"/>
      </w:rPr>
    </w:pPr>
    <w:r>
      <w:rPr>
        <w:noProof/>
      </w:rPr>
      <w:drawing>
        <wp:anchor distT="0" distB="0" distL="114300" distR="114300" simplePos="0" relativeHeight="251666432" behindDoc="0" locked="0" layoutInCell="1" allowOverlap="1">
          <wp:simplePos x="0" y="0"/>
          <wp:positionH relativeFrom="column">
            <wp:posOffset>-323850</wp:posOffset>
          </wp:positionH>
          <wp:positionV relativeFrom="paragraph">
            <wp:posOffset>-64135</wp:posOffset>
          </wp:positionV>
          <wp:extent cx="2266950" cy="513715"/>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269249" cy="514236"/>
                  </a:xfrm>
                  <a:prstGeom prst="rect">
                    <a:avLst/>
                  </a:prstGeom>
                </pic:spPr>
              </pic:pic>
            </a:graphicData>
          </a:graphic>
        </wp:anchor>
      </w:drawing>
    </w:r>
    <w:r>
      <w:rPr>
        <w:noProof/>
      </w:rPr>
      <mc:AlternateContent>
        <mc:Choice Requires="wps">
          <w:drawing>
            <wp:anchor distT="0" distB="0" distL="114300" distR="114300" simplePos="0" relativeHeight="251659264" behindDoc="0" locked="0" layoutInCell="1" allowOverlap="1">
              <wp:simplePos x="0" y="0"/>
              <wp:positionH relativeFrom="column">
                <wp:posOffset>4273550</wp:posOffset>
              </wp:positionH>
              <wp:positionV relativeFrom="paragraph">
                <wp:posOffset>44450</wp:posOffset>
              </wp:positionV>
              <wp:extent cx="2009775" cy="396240"/>
              <wp:effectExtent l="0" t="0" r="0" b="0"/>
              <wp:wrapNone/>
              <wp:docPr id="3" name="AutoShape 5"/>
              <wp:cNvGraphicFramePr/>
              <a:graphic xmlns:a="http://schemas.openxmlformats.org/drawingml/2006/main">
                <a:graphicData uri="http://schemas.microsoft.com/office/word/2010/wordprocessingShape">
                  <wps:wsp>
                    <wps:cNvSpPr/>
                    <wps:spPr>
                      <a:xfrm>
                        <a:off x="0" y="0"/>
                        <a:ext cx="2009775" cy="396240"/>
                      </a:xfrm>
                      <a:prstGeom prst="roundRect">
                        <a:avLst>
                          <a:gd name="adj" fmla="val 16667"/>
                        </a:avLst>
                      </a:prstGeom>
                      <a:noFill/>
                      <a:ln w="9525">
                        <a:noFill/>
                      </a:ln>
                      <a:effectLst/>
                    </wps:spPr>
                    <wps:txb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wps:txbx>
                    <wps:bodyPr wrap="square" upright="1"/>
                  </wps:wsp>
                </a:graphicData>
              </a:graphic>
            </wp:anchor>
          </w:drawing>
        </mc:Choice>
        <mc:Fallback>
          <w:pict>
            <v:roundrect id="AutoShape 5" o:spid="_x0000_s1027" style="position:absolute;left:0;text-align:left;margin-left:336.5pt;margin-top:3.5pt;width:158.25pt;height:31.2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" filled="f" stroked="f">
              <v:textbox>
                <w:txbxContent>
                  <w:p w:rsidR="00CF6558" w:rsidRDefault="00653621">
                    <w:pPr>
                      <w:ind w:firstLineChars="539" w:firstLine="1299"/>
                      <w:rPr>
                        <w:rFonts w:ascii="黑体" w:eastAsia="黑体"/>
                        <w:b/>
                        <w:color w:val="000000"/>
                        <w:sz w:val="24"/>
                      </w:rPr>
                    </w:pPr>
                    <w:r>
                      <w:rPr>
                        <w:rFonts w:ascii="黑体" w:eastAsia="黑体" w:hint="eastAsia"/>
                        <w:b/>
                        <w:color w:val="000000"/>
                        <w:sz w:val="24"/>
                      </w:rPr>
                      <w:t>盘前交易提示</w:t>
                    </w:r>
                  </w:p>
                </w:txbxContent>
              </v:textbox>
            </v:round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4457700</wp:posOffset>
              </wp:positionH>
              <wp:positionV relativeFrom="paragraph">
                <wp:posOffset>440690</wp:posOffset>
              </wp:positionV>
              <wp:extent cx="1828800" cy="635"/>
              <wp:effectExtent l="0" t="0" r="19050" b="37465"/>
              <wp:wrapNone/>
              <wp:docPr id="4" name="Line 3"/>
              <wp:cNvGraphicFramePr/>
              <a:graphic xmlns:a="http://schemas.openxmlformats.org/drawingml/2006/main">
                <a:graphicData uri="http://schemas.microsoft.com/office/word/2010/wordprocessingShape">
                  <wps:wsp>
                    <wps:cNvCnPr/>
                    <wps:spPr>
                      <a:xfrm>
                        <a:off x="0" y="0"/>
                        <a:ext cx="1828800" cy="635"/>
                      </a:xfrm>
                      <a:prstGeom prst="line">
                        <a:avLst/>
                      </a:prstGeom>
                      <a:ln w="1905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3" o:spid="_x0000_s1026" o:spt="20" style="position:absolute;left:0pt;margin-left:351pt;margin-top:34.7pt;height:0.05pt;width:144pt;z-index:251660288;mso-width-relative:page;mso-height-relative:page;" filled="f" stroked="t" coordsize="21600,21600" o:gfxdata="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STG7fWAAAACQEAAA8AAAAAAAAA&#10;AQAgAAAAIgAAAGRycy9kb3ducmV2LnhtbFBLAQIUABQAAAAIAIdO4kAuQkto2gEAAN4DAAAOAAAA&#10;AAAAAAEAIAAAACUBAABkcnMvZTJvRG9jLnhtbFBLBQYAAAAABgAGAFkBAABxBQAAAAA=&#10;">
              <v:fill on="f" focussize="0,0"/>
              <v:stroke weight="1.5pt" color="#CC0000" joinstyle="round"/>
              <v:imagedata o:title=""/>
              <o:lock v:ext="edit" aspectratio="f"/>
            </v:lin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4343400</wp:posOffset>
              </wp:positionH>
              <wp:positionV relativeFrom="paragraph">
                <wp:posOffset>341630</wp:posOffset>
              </wp:positionV>
              <wp:extent cx="1828800" cy="635"/>
              <wp:effectExtent l="0" t="0" r="19050" b="37465"/>
              <wp:wrapNone/>
              <wp:docPr id="5" name="Line 4"/>
              <wp:cNvGraphicFramePr/>
              <a:graphic xmlns:a="http://schemas.openxmlformats.org/drawingml/2006/main">
                <a:graphicData uri="http://schemas.microsoft.com/office/word/2010/wordprocessingShape">
                  <wps:wsp>
                    <wps:cNvCnPr/>
                    <wps:spPr>
                      <a:xfrm>
                        <a:off x="0" y="0"/>
                        <a:ext cx="1828800" cy="635"/>
                      </a:xfrm>
                      <a:prstGeom prst="line">
                        <a:avLst/>
                      </a:prstGeom>
                      <a:ln w="15875"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4" o:spid="_x0000_s1026" o:spt="20" style="position:absolute;left:0pt;margin-left:342pt;margin-top:26.9pt;height:0.05pt;width:144pt;z-index:251661312;mso-width-relative:page;mso-height-relative:page;" filled="f" stroked="t" coordsize="21600,21600" o:gfxdata="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5oKFsNoAAAAJAQAADwAA&#10;AAAAAAABACAAAAAiAAAAZHJzL2Rvd25yZXYueG1sUEsBAhQAFAAAAAgAh07iQCQF2P/bAQAA3gMA&#10;AA4AAAAAAAAAAQAgAAAAKQEAAGRycy9lMm9Eb2MueG1sUEsFBgAAAAAGAAYAWQEAAHYFAAAAAA==&#10;">
              <v:fill on="f" focussize="0,0"/>
              <v:stroke weight="1.25pt" color="#CC0000" joinstyle="round"/>
              <v:imagedata o:title=""/>
              <o:lock v:ext="edit" aspectratio="f"/>
            </v:line>
          </w:pict>
        </mc:Fallback>
      </mc:AlternateContent>
    </w:r>
  </w:p>
  <w:p w:rsidR="00CF6558" w:rsidRDefault="00653621">
    <w:pPr>
      <w:pStyle w:val="afb"/>
      <w:pBdr>
        <w:bottom w:val="none" w:sz="0" w:space="0" w:color="auto"/>
      </w:pBdr>
      <w:jc w:val="both"/>
    </w:pPr>
    <w:r>
      <w:rPr>
        <w:noProof/>
      </w:rPr>
      <mc:AlternateContent>
        <mc:Choice Requires="wps">
          <w:drawing>
            <wp:anchor distT="0" distB="0" distL="114300" distR="114300" simplePos="0" relativeHeight="251662336" behindDoc="0" locked="0" layoutInCell="1" allowOverlap="1">
              <wp:simplePos x="0" y="0"/>
              <wp:positionH relativeFrom="column">
                <wp:posOffset>-224155</wp:posOffset>
              </wp:positionH>
              <wp:positionV relativeFrom="page">
                <wp:posOffset>1080135</wp:posOffset>
              </wp:positionV>
              <wp:extent cx="6623685" cy="11430"/>
              <wp:effectExtent l="0" t="0" r="24765" b="26670"/>
              <wp:wrapNone/>
              <wp:docPr id="6" name="Line 1"/>
              <wp:cNvGraphicFramePr/>
              <a:graphic xmlns:a="http://schemas.openxmlformats.org/drawingml/2006/main">
                <a:graphicData uri="http://schemas.microsoft.com/office/word/2010/wordprocessingShape">
                  <wps:wsp>
                    <wps:cNvCnPr/>
                    <wps:spPr>
                      <a:xfrm>
                        <a:off x="0" y="0"/>
                        <a:ext cx="6623685" cy="11430"/>
                      </a:xfrm>
                      <a:prstGeom prst="line">
                        <a:avLst/>
                      </a:prstGeom>
                      <a:ln w="25400" cap="flat" cmpd="sng">
                        <a:solidFill>
                          <a:srgbClr val="CC0000"/>
                        </a:solidFill>
                        <a:prstDash val="solid"/>
                        <a:headEnd type="none" w="med" len="med"/>
                        <a:tailEnd type="none" w="med" len="med"/>
                      </a:ln>
                      <a:effectLst/>
                    </wps:spPr>
                    <wps:bodyPr/>
                  </wps:wsp>
                </a:graphicData>
              </a:graphic>
            </wp:anchor>
          </w:drawing>
        </mc:Choice>
        <mc:Fallback xmlns:wpsCustomData="http://www.wps.cn/officeDocument/2013/wpsCustomData">
          <w:pict>
            <v:line id="Line 1" o:spid="_x0000_s1026" o:spt="20" style="position:absolute;left:0pt;margin-left:-17.65pt;margin-top:85.05pt;height:0.9pt;width:521.55pt;mso-position-vertical-relative:page;z-index:251662336;mso-width-relative:page;mso-height-relative:page;" filled="f" stroked="t" coordsize="21600,21600" o:gfxdata="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IKH92gAAAAwB&#10;AAAPAAAAAAAAAAEAIAAAACIAAABkcnMvZG93bnJldi54bWxQSwECFAAUAAAACACHTuJA9kflvOAB&#10;AADgAwAADgAAAAAAAAABACAAAAApAQAAZHJzL2Uyb0RvYy54bWxQSwUGAAAAAAYABgBZAQAAewUA&#10;AAAA&#10;">
              <v:fill on="f" focussize="0,0"/>
              <v:stroke weight="2pt" color="#CC0000" joinstyle="round"/>
              <v:imagedata o:title=""/>
              <o:lock v:ext="edit" aspectratio="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A626CE9"/>
    <w:multiLevelType w:val="singleLevel"/>
    <w:tmpl w:val="DA626CE9"/>
    <w:lvl w:ilvl="0">
      <w:start w:val="1"/>
      <w:numFmt w:val="decimal"/>
      <w:lvlText w:val="%1."/>
      <w:lvlJc w:val="left"/>
      <w:pPr>
        <w:ind w:left="425" w:hanging="425"/>
      </w:pPr>
      <w:rPr>
        <w:rFonts w:hint="default"/>
      </w:rPr>
    </w:lvl>
  </w:abstractNum>
  <w:abstractNum w:abstractNumId="1" w15:restartNumberingAfterBreak="0">
    <w:nsid w:val="FE55A576"/>
    <w:multiLevelType w:val="singleLevel"/>
    <w:tmpl w:val="FE55A576"/>
    <w:lvl w:ilvl="0">
      <w:start w:val="1"/>
      <w:numFmt w:val="decimal"/>
      <w:suff w:val="nothing"/>
      <w:lvlText w:val="%1．"/>
      <w:lvlJc w:val="left"/>
      <w:pPr>
        <w:ind w:left="0" w:firstLine="400"/>
      </w:pPr>
      <w:rPr>
        <w:rFonts w:hint="default"/>
      </w:rPr>
    </w:lvl>
  </w:abstractNum>
  <w:abstractNum w:abstractNumId="2" w15:restartNumberingAfterBreak="0">
    <w:nsid w:val="00000002"/>
    <w:multiLevelType w:val="multilevel"/>
    <w:tmpl w:val="00000002"/>
    <w:lvl w:ilvl="0">
      <w:start w:val="1"/>
      <w:numFmt w:val="japaneseCounting"/>
      <w:lvlText w:val="%1、"/>
      <w:lvlJc w:val="left"/>
      <w:pPr>
        <w:tabs>
          <w:tab w:val="left" w:pos="720"/>
        </w:tabs>
        <w:ind w:left="720" w:hanging="720"/>
      </w:pPr>
      <w:rPr>
        <w:rFonts w:hint="default"/>
        <w:b/>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7C7207A1"/>
    <w:multiLevelType w:val="hybridMultilevel"/>
    <w:tmpl w:val="6928B268"/>
    <w:lvl w:ilvl="0" w:tplc="C966025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attachedTemplate r:id="rId1"/>
  <w:defaultTabStop w:val="420"/>
  <w:drawingGridHorizontalSpacing w:val="0"/>
  <w:drawingGridVerticalSpacing w:val="156"/>
  <w:noPunctuationKerning/>
  <w:characterSpacingControl w:val="compressPunctuation"/>
  <w:doNotValidateAgainstSchema/>
  <w:doNotDemarcateInvalidXml/>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206"/>
    <w:rsid w:val="000007DE"/>
    <w:rsid w:val="00001578"/>
    <w:rsid w:val="00001B84"/>
    <w:rsid w:val="00001F4A"/>
    <w:rsid w:val="00002F49"/>
    <w:rsid w:val="000032AB"/>
    <w:rsid w:val="00003A0C"/>
    <w:rsid w:val="00004594"/>
    <w:rsid w:val="000055D3"/>
    <w:rsid w:val="0000696A"/>
    <w:rsid w:val="00010961"/>
    <w:rsid w:val="0001284A"/>
    <w:rsid w:val="00012D2B"/>
    <w:rsid w:val="000148CD"/>
    <w:rsid w:val="00014D3F"/>
    <w:rsid w:val="00014FDA"/>
    <w:rsid w:val="000151E2"/>
    <w:rsid w:val="000152EA"/>
    <w:rsid w:val="000157B5"/>
    <w:rsid w:val="000162D8"/>
    <w:rsid w:val="00016603"/>
    <w:rsid w:val="00016995"/>
    <w:rsid w:val="00016BE2"/>
    <w:rsid w:val="00016C70"/>
    <w:rsid w:val="00016F0C"/>
    <w:rsid w:val="000177BD"/>
    <w:rsid w:val="00017EC7"/>
    <w:rsid w:val="00021E93"/>
    <w:rsid w:val="0002344A"/>
    <w:rsid w:val="0002352F"/>
    <w:rsid w:val="00023886"/>
    <w:rsid w:val="000248A7"/>
    <w:rsid w:val="00025229"/>
    <w:rsid w:val="000262CA"/>
    <w:rsid w:val="00026AF9"/>
    <w:rsid w:val="00026E4C"/>
    <w:rsid w:val="000301E8"/>
    <w:rsid w:val="000304BD"/>
    <w:rsid w:val="000310AA"/>
    <w:rsid w:val="00031C98"/>
    <w:rsid w:val="00032320"/>
    <w:rsid w:val="0003281A"/>
    <w:rsid w:val="00032C25"/>
    <w:rsid w:val="00033F3A"/>
    <w:rsid w:val="0003429C"/>
    <w:rsid w:val="00034581"/>
    <w:rsid w:val="00035458"/>
    <w:rsid w:val="00035D84"/>
    <w:rsid w:val="0003602B"/>
    <w:rsid w:val="00036AC4"/>
    <w:rsid w:val="00036BD6"/>
    <w:rsid w:val="00036FD3"/>
    <w:rsid w:val="00037E58"/>
    <w:rsid w:val="000400BC"/>
    <w:rsid w:val="000406F0"/>
    <w:rsid w:val="00040859"/>
    <w:rsid w:val="00040994"/>
    <w:rsid w:val="00040D5A"/>
    <w:rsid w:val="00041866"/>
    <w:rsid w:val="00041E8A"/>
    <w:rsid w:val="00041FC1"/>
    <w:rsid w:val="000425CE"/>
    <w:rsid w:val="00042D12"/>
    <w:rsid w:val="00042F93"/>
    <w:rsid w:val="00043196"/>
    <w:rsid w:val="000442FD"/>
    <w:rsid w:val="00044BC0"/>
    <w:rsid w:val="00046ED2"/>
    <w:rsid w:val="00047789"/>
    <w:rsid w:val="00047876"/>
    <w:rsid w:val="000505CC"/>
    <w:rsid w:val="00050601"/>
    <w:rsid w:val="00053463"/>
    <w:rsid w:val="000534AF"/>
    <w:rsid w:val="000541F2"/>
    <w:rsid w:val="00054826"/>
    <w:rsid w:val="000554FC"/>
    <w:rsid w:val="0005583B"/>
    <w:rsid w:val="000565D3"/>
    <w:rsid w:val="00056A17"/>
    <w:rsid w:val="00056D7C"/>
    <w:rsid w:val="000605E5"/>
    <w:rsid w:val="00060CD3"/>
    <w:rsid w:val="0006149F"/>
    <w:rsid w:val="00061E6A"/>
    <w:rsid w:val="00062139"/>
    <w:rsid w:val="00062191"/>
    <w:rsid w:val="00062941"/>
    <w:rsid w:val="00062A1B"/>
    <w:rsid w:val="00062CD3"/>
    <w:rsid w:val="00063135"/>
    <w:rsid w:val="0006353C"/>
    <w:rsid w:val="00063A25"/>
    <w:rsid w:val="00064B37"/>
    <w:rsid w:val="00064E0A"/>
    <w:rsid w:val="00065F66"/>
    <w:rsid w:val="00065FCE"/>
    <w:rsid w:val="00066114"/>
    <w:rsid w:val="0006669B"/>
    <w:rsid w:val="00067F09"/>
    <w:rsid w:val="0007041D"/>
    <w:rsid w:val="00072621"/>
    <w:rsid w:val="0007298A"/>
    <w:rsid w:val="0007352D"/>
    <w:rsid w:val="00073BB0"/>
    <w:rsid w:val="000741E6"/>
    <w:rsid w:val="0007459E"/>
    <w:rsid w:val="00074CDA"/>
    <w:rsid w:val="000768B0"/>
    <w:rsid w:val="000769CF"/>
    <w:rsid w:val="00076D69"/>
    <w:rsid w:val="00077B13"/>
    <w:rsid w:val="00077D26"/>
    <w:rsid w:val="00080618"/>
    <w:rsid w:val="000806E6"/>
    <w:rsid w:val="00080991"/>
    <w:rsid w:val="00081368"/>
    <w:rsid w:val="0008138A"/>
    <w:rsid w:val="000820DA"/>
    <w:rsid w:val="000822E8"/>
    <w:rsid w:val="00082BD1"/>
    <w:rsid w:val="00082E1B"/>
    <w:rsid w:val="00082EF4"/>
    <w:rsid w:val="00084406"/>
    <w:rsid w:val="000858FA"/>
    <w:rsid w:val="00085936"/>
    <w:rsid w:val="00086087"/>
    <w:rsid w:val="00087AEE"/>
    <w:rsid w:val="00090C4F"/>
    <w:rsid w:val="0009170A"/>
    <w:rsid w:val="000936D1"/>
    <w:rsid w:val="00093D04"/>
    <w:rsid w:val="000944C3"/>
    <w:rsid w:val="00095E92"/>
    <w:rsid w:val="00096881"/>
    <w:rsid w:val="00096CED"/>
    <w:rsid w:val="000970DA"/>
    <w:rsid w:val="00097BE5"/>
    <w:rsid w:val="00097D48"/>
    <w:rsid w:val="000A0EA3"/>
    <w:rsid w:val="000A0EBF"/>
    <w:rsid w:val="000A1241"/>
    <w:rsid w:val="000A1BF4"/>
    <w:rsid w:val="000A201F"/>
    <w:rsid w:val="000A33E7"/>
    <w:rsid w:val="000A4113"/>
    <w:rsid w:val="000A4DC1"/>
    <w:rsid w:val="000A6D18"/>
    <w:rsid w:val="000A73DA"/>
    <w:rsid w:val="000A7530"/>
    <w:rsid w:val="000A7743"/>
    <w:rsid w:val="000B059A"/>
    <w:rsid w:val="000B1FE3"/>
    <w:rsid w:val="000B2560"/>
    <w:rsid w:val="000B389F"/>
    <w:rsid w:val="000B527C"/>
    <w:rsid w:val="000B5362"/>
    <w:rsid w:val="000B5808"/>
    <w:rsid w:val="000B65A1"/>
    <w:rsid w:val="000B686A"/>
    <w:rsid w:val="000B7359"/>
    <w:rsid w:val="000B74C9"/>
    <w:rsid w:val="000C08DB"/>
    <w:rsid w:val="000C095F"/>
    <w:rsid w:val="000C0DAC"/>
    <w:rsid w:val="000C188D"/>
    <w:rsid w:val="000C1D84"/>
    <w:rsid w:val="000C34D3"/>
    <w:rsid w:val="000C3AAB"/>
    <w:rsid w:val="000C571A"/>
    <w:rsid w:val="000C57BB"/>
    <w:rsid w:val="000C584A"/>
    <w:rsid w:val="000C5D55"/>
    <w:rsid w:val="000C694B"/>
    <w:rsid w:val="000C7364"/>
    <w:rsid w:val="000C7A0D"/>
    <w:rsid w:val="000D01DF"/>
    <w:rsid w:val="000D063F"/>
    <w:rsid w:val="000D0BD1"/>
    <w:rsid w:val="000D0BDD"/>
    <w:rsid w:val="000D11E3"/>
    <w:rsid w:val="000D15C1"/>
    <w:rsid w:val="000D1679"/>
    <w:rsid w:val="000D3C5F"/>
    <w:rsid w:val="000D5673"/>
    <w:rsid w:val="000D5F2D"/>
    <w:rsid w:val="000D67DB"/>
    <w:rsid w:val="000D7CF9"/>
    <w:rsid w:val="000E0951"/>
    <w:rsid w:val="000E0B74"/>
    <w:rsid w:val="000E1090"/>
    <w:rsid w:val="000E1A8E"/>
    <w:rsid w:val="000E1BD5"/>
    <w:rsid w:val="000E273D"/>
    <w:rsid w:val="000E3129"/>
    <w:rsid w:val="000E3C4A"/>
    <w:rsid w:val="000E448A"/>
    <w:rsid w:val="000E4972"/>
    <w:rsid w:val="000E49FD"/>
    <w:rsid w:val="000E4ED2"/>
    <w:rsid w:val="000E5C01"/>
    <w:rsid w:val="000F001D"/>
    <w:rsid w:val="000F0DAC"/>
    <w:rsid w:val="000F2E28"/>
    <w:rsid w:val="000F39AD"/>
    <w:rsid w:val="000F3B3C"/>
    <w:rsid w:val="000F4B79"/>
    <w:rsid w:val="000F5FA1"/>
    <w:rsid w:val="000F6104"/>
    <w:rsid w:val="000F6479"/>
    <w:rsid w:val="000F7A77"/>
    <w:rsid w:val="001003DD"/>
    <w:rsid w:val="00100969"/>
    <w:rsid w:val="00100D18"/>
    <w:rsid w:val="001023E9"/>
    <w:rsid w:val="00103CB5"/>
    <w:rsid w:val="00103CD4"/>
    <w:rsid w:val="00104535"/>
    <w:rsid w:val="00104F4D"/>
    <w:rsid w:val="00105581"/>
    <w:rsid w:val="00105CBD"/>
    <w:rsid w:val="00106321"/>
    <w:rsid w:val="001065BD"/>
    <w:rsid w:val="001066E9"/>
    <w:rsid w:val="00106E25"/>
    <w:rsid w:val="00107604"/>
    <w:rsid w:val="00107FFC"/>
    <w:rsid w:val="00110A98"/>
    <w:rsid w:val="0011268B"/>
    <w:rsid w:val="00112CAD"/>
    <w:rsid w:val="00112E2C"/>
    <w:rsid w:val="00113026"/>
    <w:rsid w:val="00113CFE"/>
    <w:rsid w:val="00113DD7"/>
    <w:rsid w:val="0011438E"/>
    <w:rsid w:val="001147BC"/>
    <w:rsid w:val="00114823"/>
    <w:rsid w:val="001159C1"/>
    <w:rsid w:val="00115A51"/>
    <w:rsid w:val="00116A2B"/>
    <w:rsid w:val="00116B1F"/>
    <w:rsid w:val="00116FE1"/>
    <w:rsid w:val="0011701D"/>
    <w:rsid w:val="001179D1"/>
    <w:rsid w:val="00117CDD"/>
    <w:rsid w:val="0012037C"/>
    <w:rsid w:val="001213C3"/>
    <w:rsid w:val="00121967"/>
    <w:rsid w:val="00121A73"/>
    <w:rsid w:val="00122620"/>
    <w:rsid w:val="00122625"/>
    <w:rsid w:val="00122853"/>
    <w:rsid w:val="001237E4"/>
    <w:rsid w:val="00123FDD"/>
    <w:rsid w:val="00124B53"/>
    <w:rsid w:val="00124D52"/>
    <w:rsid w:val="00125FAD"/>
    <w:rsid w:val="0012604C"/>
    <w:rsid w:val="001262DB"/>
    <w:rsid w:val="00126772"/>
    <w:rsid w:val="001269E7"/>
    <w:rsid w:val="00126A7B"/>
    <w:rsid w:val="001324EA"/>
    <w:rsid w:val="00132C2F"/>
    <w:rsid w:val="001331A2"/>
    <w:rsid w:val="001334B0"/>
    <w:rsid w:val="00133C77"/>
    <w:rsid w:val="00134064"/>
    <w:rsid w:val="00134630"/>
    <w:rsid w:val="0013519A"/>
    <w:rsid w:val="00135D81"/>
    <w:rsid w:val="001375D5"/>
    <w:rsid w:val="001379D9"/>
    <w:rsid w:val="001437FB"/>
    <w:rsid w:val="00143AA4"/>
    <w:rsid w:val="00143C87"/>
    <w:rsid w:val="001477A8"/>
    <w:rsid w:val="00150848"/>
    <w:rsid w:val="00150AC9"/>
    <w:rsid w:val="00151B7C"/>
    <w:rsid w:val="00152A8E"/>
    <w:rsid w:val="00153190"/>
    <w:rsid w:val="001531D3"/>
    <w:rsid w:val="00153786"/>
    <w:rsid w:val="001545E6"/>
    <w:rsid w:val="001548A4"/>
    <w:rsid w:val="00155D9A"/>
    <w:rsid w:val="00157BF3"/>
    <w:rsid w:val="0016188E"/>
    <w:rsid w:val="0016196C"/>
    <w:rsid w:val="00161CBE"/>
    <w:rsid w:val="00163A50"/>
    <w:rsid w:val="001644DF"/>
    <w:rsid w:val="00164951"/>
    <w:rsid w:val="001654AC"/>
    <w:rsid w:val="00165892"/>
    <w:rsid w:val="00165C77"/>
    <w:rsid w:val="00166052"/>
    <w:rsid w:val="001671C4"/>
    <w:rsid w:val="00167487"/>
    <w:rsid w:val="0017043F"/>
    <w:rsid w:val="0017060D"/>
    <w:rsid w:val="00171054"/>
    <w:rsid w:val="001715CC"/>
    <w:rsid w:val="001717A3"/>
    <w:rsid w:val="00171D62"/>
    <w:rsid w:val="00172245"/>
    <w:rsid w:val="00172A27"/>
    <w:rsid w:val="001732F3"/>
    <w:rsid w:val="00173952"/>
    <w:rsid w:val="001748FC"/>
    <w:rsid w:val="00175812"/>
    <w:rsid w:val="00175B19"/>
    <w:rsid w:val="001767E4"/>
    <w:rsid w:val="00176816"/>
    <w:rsid w:val="00176D9E"/>
    <w:rsid w:val="0017784E"/>
    <w:rsid w:val="00177BB1"/>
    <w:rsid w:val="00177C2F"/>
    <w:rsid w:val="001804D5"/>
    <w:rsid w:val="0018054E"/>
    <w:rsid w:val="001806BA"/>
    <w:rsid w:val="00180D66"/>
    <w:rsid w:val="001817B2"/>
    <w:rsid w:val="00181B67"/>
    <w:rsid w:val="00181C45"/>
    <w:rsid w:val="001822F7"/>
    <w:rsid w:val="0018271B"/>
    <w:rsid w:val="001835EC"/>
    <w:rsid w:val="0018365A"/>
    <w:rsid w:val="00183E89"/>
    <w:rsid w:val="0018435A"/>
    <w:rsid w:val="001853D9"/>
    <w:rsid w:val="00185749"/>
    <w:rsid w:val="001859FD"/>
    <w:rsid w:val="00186FCF"/>
    <w:rsid w:val="0018752E"/>
    <w:rsid w:val="00187D12"/>
    <w:rsid w:val="00187EB2"/>
    <w:rsid w:val="00190EFE"/>
    <w:rsid w:val="00191800"/>
    <w:rsid w:val="00191C04"/>
    <w:rsid w:val="001921C3"/>
    <w:rsid w:val="00192D58"/>
    <w:rsid w:val="00193117"/>
    <w:rsid w:val="00193775"/>
    <w:rsid w:val="001943B5"/>
    <w:rsid w:val="0019471C"/>
    <w:rsid w:val="00194DB5"/>
    <w:rsid w:val="00195DD3"/>
    <w:rsid w:val="00195ED0"/>
    <w:rsid w:val="00195FFD"/>
    <w:rsid w:val="001966EA"/>
    <w:rsid w:val="0019679A"/>
    <w:rsid w:val="00196ACE"/>
    <w:rsid w:val="001977E1"/>
    <w:rsid w:val="00197B14"/>
    <w:rsid w:val="001A0B63"/>
    <w:rsid w:val="001A0D36"/>
    <w:rsid w:val="001A1DA7"/>
    <w:rsid w:val="001A2C80"/>
    <w:rsid w:val="001A2DAB"/>
    <w:rsid w:val="001A3D40"/>
    <w:rsid w:val="001A3F97"/>
    <w:rsid w:val="001A57CB"/>
    <w:rsid w:val="001A5D24"/>
    <w:rsid w:val="001A6121"/>
    <w:rsid w:val="001A703F"/>
    <w:rsid w:val="001A75B1"/>
    <w:rsid w:val="001B0026"/>
    <w:rsid w:val="001B0B98"/>
    <w:rsid w:val="001B0C37"/>
    <w:rsid w:val="001B15DF"/>
    <w:rsid w:val="001B1B7C"/>
    <w:rsid w:val="001B284B"/>
    <w:rsid w:val="001B42AB"/>
    <w:rsid w:val="001B4605"/>
    <w:rsid w:val="001B488A"/>
    <w:rsid w:val="001B4D86"/>
    <w:rsid w:val="001B594D"/>
    <w:rsid w:val="001B5F77"/>
    <w:rsid w:val="001B5F87"/>
    <w:rsid w:val="001C025C"/>
    <w:rsid w:val="001C0347"/>
    <w:rsid w:val="001C14E4"/>
    <w:rsid w:val="001C1DAC"/>
    <w:rsid w:val="001C21F3"/>
    <w:rsid w:val="001C38C2"/>
    <w:rsid w:val="001C3D1B"/>
    <w:rsid w:val="001C4A42"/>
    <w:rsid w:val="001C597F"/>
    <w:rsid w:val="001C5FED"/>
    <w:rsid w:val="001C6815"/>
    <w:rsid w:val="001C76BA"/>
    <w:rsid w:val="001D04F3"/>
    <w:rsid w:val="001D2B47"/>
    <w:rsid w:val="001D2BF9"/>
    <w:rsid w:val="001D3FDF"/>
    <w:rsid w:val="001D559C"/>
    <w:rsid w:val="001D5EBD"/>
    <w:rsid w:val="001D6664"/>
    <w:rsid w:val="001D7D83"/>
    <w:rsid w:val="001E03B5"/>
    <w:rsid w:val="001E08B2"/>
    <w:rsid w:val="001E08C8"/>
    <w:rsid w:val="001E09A7"/>
    <w:rsid w:val="001E0D0D"/>
    <w:rsid w:val="001E1C43"/>
    <w:rsid w:val="001E1CBB"/>
    <w:rsid w:val="001E1D79"/>
    <w:rsid w:val="001E2005"/>
    <w:rsid w:val="001E2A39"/>
    <w:rsid w:val="001E2C1F"/>
    <w:rsid w:val="001E3998"/>
    <w:rsid w:val="001E45DC"/>
    <w:rsid w:val="001E5C44"/>
    <w:rsid w:val="001E651A"/>
    <w:rsid w:val="001E6B37"/>
    <w:rsid w:val="001E716E"/>
    <w:rsid w:val="001E732A"/>
    <w:rsid w:val="001F0F60"/>
    <w:rsid w:val="001F1675"/>
    <w:rsid w:val="001F2865"/>
    <w:rsid w:val="001F2E59"/>
    <w:rsid w:val="001F3415"/>
    <w:rsid w:val="001F41B2"/>
    <w:rsid w:val="001F4986"/>
    <w:rsid w:val="001F4DF9"/>
    <w:rsid w:val="001F50BD"/>
    <w:rsid w:val="001F5439"/>
    <w:rsid w:val="001F571C"/>
    <w:rsid w:val="001F57E5"/>
    <w:rsid w:val="001F5844"/>
    <w:rsid w:val="001F5B46"/>
    <w:rsid w:val="001F5CAD"/>
    <w:rsid w:val="001F5D78"/>
    <w:rsid w:val="001F5FEF"/>
    <w:rsid w:val="001F666D"/>
    <w:rsid w:val="001F667F"/>
    <w:rsid w:val="001F683D"/>
    <w:rsid w:val="001F6DFD"/>
    <w:rsid w:val="001F7638"/>
    <w:rsid w:val="0020041D"/>
    <w:rsid w:val="002006B5"/>
    <w:rsid w:val="00200790"/>
    <w:rsid w:val="002016D3"/>
    <w:rsid w:val="00201821"/>
    <w:rsid w:val="00202AC3"/>
    <w:rsid w:val="00202C9C"/>
    <w:rsid w:val="00202E97"/>
    <w:rsid w:val="00203837"/>
    <w:rsid w:val="00203EA7"/>
    <w:rsid w:val="002043B6"/>
    <w:rsid w:val="00204D97"/>
    <w:rsid w:val="00205030"/>
    <w:rsid w:val="00205AA4"/>
    <w:rsid w:val="0020792B"/>
    <w:rsid w:val="00207E4E"/>
    <w:rsid w:val="002111AA"/>
    <w:rsid w:val="0021130C"/>
    <w:rsid w:val="00211818"/>
    <w:rsid w:val="00211833"/>
    <w:rsid w:val="002118BB"/>
    <w:rsid w:val="002119FA"/>
    <w:rsid w:val="002130E5"/>
    <w:rsid w:val="00214121"/>
    <w:rsid w:val="00215705"/>
    <w:rsid w:val="00215874"/>
    <w:rsid w:val="00215E6B"/>
    <w:rsid w:val="002160B3"/>
    <w:rsid w:val="0021631B"/>
    <w:rsid w:val="00216643"/>
    <w:rsid w:val="002166FA"/>
    <w:rsid w:val="002168F5"/>
    <w:rsid w:val="00216E1E"/>
    <w:rsid w:val="00216EB0"/>
    <w:rsid w:val="00217110"/>
    <w:rsid w:val="00217748"/>
    <w:rsid w:val="002211B6"/>
    <w:rsid w:val="00221C12"/>
    <w:rsid w:val="00221D46"/>
    <w:rsid w:val="00222C77"/>
    <w:rsid w:val="002235E3"/>
    <w:rsid w:val="0022490F"/>
    <w:rsid w:val="00224A39"/>
    <w:rsid w:val="00224BA8"/>
    <w:rsid w:val="00224D2F"/>
    <w:rsid w:val="00224E30"/>
    <w:rsid w:val="0022541A"/>
    <w:rsid w:val="00225819"/>
    <w:rsid w:val="0022783B"/>
    <w:rsid w:val="00227994"/>
    <w:rsid w:val="002306CE"/>
    <w:rsid w:val="0023095D"/>
    <w:rsid w:val="00230DD9"/>
    <w:rsid w:val="00231D4C"/>
    <w:rsid w:val="00233142"/>
    <w:rsid w:val="002334F1"/>
    <w:rsid w:val="00233675"/>
    <w:rsid w:val="00233C14"/>
    <w:rsid w:val="002354E4"/>
    <w:rsid w:val="0023552E"/>
    <w:rsid w:val="00235F13"/>
    <w:rsid w:val="002363FC"/>
    <w:rsid w:val="00236A66"/>
    <w:rsid w:val="00236FFF"/>
    <w:rsid w:val="0023755D"/>
    <w:rsid w:val="002376D7"/>
    <w:rsid w:val="00240045"/>
    <w:rsid w:val="002409D3"/>
    <w:rsid w:val="00241787"/>
    <w:rsid w:val="00242675"/>
    <w:rsid w:val="00243CA3"/>
    <w:rsid w:val="00243F35"/>
    <w:rsid w:val="002447C3"/>
    <w:rsid w:val="00245097"/>
    <w:rsid w:val="002455B1"/>
    <w:rsid w:val="00246071"/>
    <w:rsid w:val="00246651"/>
    <w:rsid w:val="00246664"/>
    <w:rsid w:val="00246F70"/>
    <w:rsid w:val="00247C38"/>
    <w:rsid w:val="00247C39"/>
    <w:rsid w:val="00250C1A"/>
    <w:rsid w:val="00250C95"/>
    <w:rsid w:val="002523B5"/>
    <w:rsid w:val="00252D57"/>
    <w:rsid w:val="002533D7"/>
    <w:rsid w:val="002534E3"/>
    <w:rsid w:val="00253F7F"/>
    <w:rsid w:val="00254537"/>
    <w:rsid w:val="002562E3"/>
    <w:rsid w:val="002564B6"/>
    <w:rsid w:val="002567B7"/>
    <w:rsid w:val="00257329"/>
    <w:rsid w:val="00257332"/>
    <w:rsid w:val="0026006C"/>
    <w:rsid w:val="0026029A"/>
    <w:rsid w:val="00261AA3"/>
    <w:rsid w:val="0026279D"/>
    <w:rsid w:val="00263BB4"/>
    <w:rsid w:val="002641AE"/>
    <w:rsid w:val="002649A0"/>
    <w:rsid w:val="00264FE8"/>
    <w:rsid w:val="002659B3"/>
    <w:rsid w:val="00267076"/>
    <w:rsid w:val="00267809"/>
    <w:rsid w:val="00267A8A"/>
    <w:rsid w:val="0027055E"/>
    <w:rsid w:val="00271476"/>
    <w:rsid w:val="00271BDD"/>
    <w:rsid w:val="00272075"/>
    <w:rsid w:val="0027227A"/>
    <w:rsid w:val="00273166"/>
    <w:rsid w:val="00273AB7"/>
    <w:rsid w:val="00273ACC"/>
    <w:rsid w:val="002743AD"/>
    <w:rsid w:val="00275CF0"/>
    <w:rsid w:val="002766CF"/>
    <w:rsid w:val="002767BA"/>
    <w:rsid w:val="00276A8F"/>
    <w:rsid w:val="00276BC2"/>
    <w:rsid w:val="00280BB4"/>
    <w:rsid w:val="00280E46"/>
    <w:rsid w:val="00280EF7"/>
    <w:rsid w:val="0028177B"/>
    <w:rsid w:val="00282220"/>
    <w:rsid w:val="0028279F"/>
    <w:rsid w:val="00282BFA"/>
    <w:rsid w:val="00283BF0"/>
    <w:rsid w:val="00283E37"/>
    <w:rsid w:val="00284098"/>
    <w:rsid w:val="0028421F"/>
    <w:rsid w:val="0028430E"/>
    <w:rsid w:val="00285A11"/>
    <w:rsid w:val="00285D26"/>
    <w:rsid w:val="00285D43"/>
    <w:rsid w:val="00285D52"/>
    <w:rsid w:val="0028603A"/>
    <w:rsid w:val="002865E4"/>
    <w:rsid w:val="00286C89"/>
    <w:rsid w:val="00290365"/>
    <w:rsid w:val="00290507"/>
    <w:rsid w:val="00290C9D"/>
    <w:rsid w:val="002916BD"/>
    <w:rsid w:val="00291E1A"/>
    <w:rsid w:val="00293DCC"/>
    <w:rsid w:val="00294CDB"/>
    <w:rsid w:val="00296F89"/>
    <w:rsid w:val="00297DEC"/>
    <w:rsid w:val="002A0662"/>
    <w:rsid w:val="002A22C0"/>
    <w:rsid w:val="002A2405"/>
    <w:rsid w:val="002A3106"/>
    <w:rsid w:val="002A356B"/>
    <w:rsid w:val="002A39D2"/>
    <w:rsid w:val="002A3EBD"/>
    <w:rsid w:val="002A42DD"/>
    <w:rsid w:val="002A4310"/>
    <w:rsid w:val="002A4994"/>
    <w:rsid w:val="002A57B7"/>
    <w:rsid w:val="002A632D"/>
    <w:rsid w:val="002A6657"/>
    <w:rsid w:val="002A6970"/>
    <w:rsid w:val="002A6D49"/>
    <w:rsid w:val="002A6E56"/>
    <w:rsid w:val="002A7335"/>
    <w:rsid w:val="002A75F5"/>
    <w:rsid w:val="002B0BD8"/>
    <w:rsid w:val="002B229B"/>
    <w:rsid w:val="002B38F5"/>
    <w:rsid w:val="002B4983"/>
    <w:rsid w:val="002B54FA"/>
    <w:rsid w:val="002B607C"/>
    <w:rsid w:val="002B6396"/>
    <w:rsid w:val="002B7505"/>
    <w:rsid w:val="002B798B"/>
    <w:rsid w:val="002B7CA7"/>
    <w:rsid w:val="002C08DE"/>
    <w:rsid w:val="002C0AC9"/>
    <w:rsid w:val="002C0B1E"/>
    <w:rsid w:val="002C0D81"/>
    <w:rsid w:val="002C173C"/>
    <w:rsid w:val="002C1B1E"/>
    <w:rsid w:val="002C1DEA"/>
    <w:rsid w:val="002C26FC"/>
    <w:rsid w:val="002C2C10"/>
    <w:rsid w:val="002C3AA5"/>
    <w:rsid w:val="002C4ACD"/>
    <w:rsid w:val="002C4D18"/>
    <w:rsid w:val="002C4E52"/>
    <w:rsid w:val="002C594B"/>
    <w:rsid w:val="002C5B56"/>
    <w:rsid w:val="002C7590"/>
    <w:rsid w:val="002C78D8"/>
    <w:rsid w:val="002D01E7"/>
    <w:rsid w:val="002D03DF"/>
    <w:rsid w:val="002D1E20"/>
    <w:rsid w:val="002D2A8D"/>
    <w:rsid w:val="002D2ECB"/>
    <w:rsid w:val="002D48AB"/>
    <w:rsid w:val="002D48B6"/>
    <w:rsid w:val="002D4AFD"/>
    <w:rsid w:val="002D54DE"/>
    <w:rsid w:val="002D5DC6"/>
    <w:rsid w:val="002D5DD0"/>
    <w:rsid w:val="002D5FE0"/>
    <w:rsid w:val="002D61C8"/>
    <w:rsid w:val="002D63C5"/>
    <w:rsid w:val="002D63F0"/>
    <w:rsid w:val="002D6423"/>
    <w:rsid w:val="002D65E2"/>
    <w:rsid w:val="002D67A4"/>
    <w:rsid w:val="002D6A6E"/>
    <w:rsid w:val="002D6C54"/>
    <w:rsid w:val="002E0527"/>
    <w:rsid w:val="002E22A3"/>
    <w:rsid w:val="002E2EC3"/>
    <w:rsid w:val="002E3601"/>
    <w:rsid w:val="002E3926"/>
    <w:rsid w:val="002E4825"/>
    <w:rsid w:val="002E4FB8"/>
    <w:rsid w:val="002E6021"/>
    <w:rsid w:val="002E64A2"/>
    <w:rsid w:val="002E6B88"/>
    <w:rsid w:val="002E7062"/>
    <w:rsid w:val="002F009E"/>
    <w:rsid w:val="002F00D3"/>
    <w:rsid w:val="002F29F2"/>
    <w:rsid w:val="002F2AE0"/>
    <w:rsid w:val="002F2B3C"/>
    <w:rsid w:val="002F35C7"/>
    <w:rsid w:val="002F3D4E"/>
    <w:rsid w:val="002F3DE4"/>
    <w:rsid w:val="002F4092"/>
    <w:rsid w:val="002F4557"/>
    <w:rsid w:val="002F4C6D"/>
    <w:rsid w:val="002F564C"/>
    <w:rsid w:val="002F69E2"/>
    <w:rsid w:val="002F7478"/>
    <w:rsid w:val="002F78D1"/>
    <w:rsid w:val="0030009B"/>
    <w:rsid w:val="003001FE"/>
    <w:rsid w:val="0030071B"/>
    <w:rsid w:val="00300740"/>
    <w:rsid w:val="00300932"/>
    <w:rsid w:val="00301447"/>
    <w:rsid w:val="00302716"/>
    <w:rsid w:val="00302E18"/>
    <w:rsid w:val="003045F6"/>
    <w:rsid w:val="00306533"/>
    <w:rsid w:val="00306680"/>
    <w:rsid w:val="00306AF8"/>
    <w:rsid w:val="003074D5"/>
    <w:rsid w:val="003077F6"/>
    <w:rsid w:val="00307AEE"/>
    <w:rsid w:val="00311987"/>
    <w:rsid w:val="00312560"/>
    <w:rsid w:val="00314B59"/>
    <w:rsid w:val="00315014"/>
    <w:rsid w:val="003150D0"/>
    <w:rsid w:val="00315259"/>
    <w:rsid w:val="003163E2"/>
    <w:rsid w:val="0031688B"/>
    <w:rsid w:val="00316B63"/>
    <w:rsid w:val="00316C34"/>
    <w:rsid w:val="00321054"/>
    <w:rsid w:val="00322D39"/>
    <w:rsid w:val="003230B9"/>
    <w:rsid w:val="00323AAD"/>
    <w:rsid w:val="003241F2"/>
    <w:rsid w:val="003244DF"/>
    <w:rsid w:val="003247EA"/>
    <w:rsid w:val="0032494E"/>
    <w:rsid w:val="0032497B"/>
    <w:rsid w:val="00324A6B"/>
    <w:rsid w:val="003252F7"/>
    <w:rsid w:val="00325C9D"/>
    <w:rsid w:val="003260E0"/>
    <w:rsid w:val="003261BA"/>
    <w:rsid w:val="00327750"/>
    <w:rsid w:val="003278AA"/>
    <w:rsid w:val="003307F8"/>
    <w:rsid w:val="00330879"/>
    <w:rsid w:val="00330D23"/>
    <w:rsid w:val="00330FE3"/>
    <w:rsid w:val="00331425"/>
    <w:rsid w:val="003329ED"/>
    <w:rsid w:val="00332E0B"/>
    <w:rsid w:val="0033336F"/>
    <w:rsid w:val="0033339B"/>
    <w:rsid w:val="003339EF"/>
    <w:rsid w:val="00340CA3"/>
    <w:rsid w:val="00340F7C"/>
    <w:rsid w:val="00341156"/>
    <w:rsid w:val="003417A7"/>
    <w:rsid w:val="00342335"/>
    <w:rsid w:val="003432EC"/>
    <w:rsid w:val="00343439"/>
    <w:rsid w:val="00343A6E"/>
    <w:rsid w:val="00343B9A"/>
    <w:rsid w:val="00344277"/>
    <w:rsid w:val="0034432C"/>
    <w:rsid w:val="00344391"/>
    <w:rsid w:val="00345114"/>
    <w:rsid w:val="00346B53"/>
    <w:rsid w:val="003471B7"/>
    <w:rsid w:val="00347321"/>
    <w:rsid w:val="003500D0"/>
    <w:rsid w:val="003500F5"/>
    <w:rsid w:val="00350EF7"/>
    <w:rsid w:val="00350FDB"/>
    <w:rsid w:val="0035210B"/>
    <w:rsid w:val="00353599"/>
    <w:rsid w:val="00353BE8"/>
    <w:rsid w:val="00354717"/>
    <w:rsid w:val="003548EA"/>
    <w:rsid w:val="00354918"/>
    <w:rsid w:val="00355474"/>
    <w:rsid w:val="00355675"/>
    <w:rsid w:val="00357C21"/>
    <w:rsid w:val="00360D35"/>
    <w:rsid w:val="00361440"/>
    <w:rsid w:val="003614FA"/>
    <w:rsid w:val="003636E5"/>
    <w:rsid w:val="003637C7"/>
    <w:rsid w:val="0036386C"/>
    <w:rsid w:val="0036473F"/>
    <w:rsid w:val="00365288"/>
    <w:rsid w:val="003659B1"/>
    <w:rsid w:val="00365CD6"/>
    <w:rsid w:val="00365EF6"/>
    <w:rsid w:val="003663C8"/>
    <w:rsid w:val="003665CB"/>
    <w:rsid w:val="00366BDA"/>
    <w:rsid w:val="0036778A"/>
    <w:rsid w:val="003677FD"/>
    <w:rsid w:val="00367BE1"/>
    <w:rsid w:val="00367CCF"/>
    <w:rsid w:val="00367ECC"/>
    <w:rsid w:val="0037075D"/>
    <w:rsid w:val="0037080F"/>
    <w:rsid w:val="00371228"/>
    <w:rsid w:val="00371A1D"/>
    <w:rsid w:val="00371BF2"/>
    <w:rsid w:val="0037270E"/>
    <w:rsid w:val="00372B49"/>
    <w:rsid w:val="003734E6"/>
    <w:rsid w:val="00374078"/>
    <w:rsid w:val="003745C5"/>
    <w:rsid w:val="00374BB7"/>
    <w:rsid w:val="00374ED9"/>
    <w:rsid w:val="00374EF1"/>
    <w:rsid w:val="0037562A"/>
    <w:rsid w:val="00375C03"/>
    <w:rsid w:val="00375CF4"/>
    <w:rsid w:val="00376714"/>
    <w:rsid w:val="003775EE"/>
    <w:rsid w:val="0038030C"/>
    <w:rsid w:val="00380626"/>
    <w:rsid w:val="0038098E"/>
    <w:rsid w:val="0038202B"/>
    <w:rsid w:val="00382B81"/>
    <w:rsid w:val="003831CB"/>
    <w:rsid w:val="003835B1"/>
    <w:rsid w:val="00385C55"/>
    <w:rsid w:val="003911E6"/>
    <w:rsid w:val="00391679"/>
    <w:rsid w:val="0039198F"/>
    <w:rsid w:val="00391E5E"/>
    <w:rsid w:val="0039315D"/>
    <w:rsid w:val="00393622"/>
    <w:rsid w:val="00394116"/>
    <w:rsid w:val="003951B9"/>
    <w:rsid w:val="00395213"/>
    <w:rsid w:val="0039619B"/>
    <w:rsid w:val="003972E6"/>
    <w:rsid w:val="00397540"/>
    <w:rsid w:val="00397A0D"/>
    <w:rsid w:val="003A013F"/>
    <w:rsid w:val="003A0268"/>
    <w:rsid w:val="003A1027"/>
    <w:rsid w:val="003A17E9"/>
    <w:rsid w:val="003A2EE0"/>
    <w:rsid w:val="003A3113"/>
    <w:rsid w:val="003A3378"/>
    <w:rsid w:val="003A3BEF"/>
    <w:rsid w:val="003A5905"/>
    <w:rsid w:val="003A6091"/>
    <w:rsid w:val="003A64B0"/>
    <w:rsid w:val="003A686F"/>
    <w:rsid w:val="003A690A"/>
    <w:rsid w:val="003B0234"/>
    <w:rsid w:val="003B097D"/>
    <w:rsid w:val="003B1349"/>
    <w:rsid w:val="003B177F"/>
    <w:rsid w:val="003B2622"/>
    <w:rsid w:val="003B266E"/>
    <w:rsid w:val="003B352E"/>
    <w:rsid w:val="003B39C1"/>
    <w:rsid w:val="003B41A1"/>
    <w:rsid w:val="003B52CD"/>
    <w:rsid w:val="003B5711"/>
    <w:rsid w:val="003B5FAE"/>
    <w:rsid w:val="003B6097"/>
    <w:rsid w:val="003C0839"/>
    <w:rsid w:val="003C0F51"/>
    <w:rsid w:val="003C126A"/>
    <w:rsid w:val="003C16D6"/>
    <w:rsid w:val="003C1C5A"/>
    <w:rsid w:val="003C2398"/>
    <w:rsid w:val="003C36C7"/>
    <w:rsid w:val="003C4820"/>
    <w:rsid w:val="003C5C4C"/>
    <w:rsid w:val="003C632E"/>
    <w:rsid w:val="003C6B1F"/>
    <w:rsid w:val="003C7A78"/>
    <w:rsid w:val="003D0054"/>
    <w:rsid w:val="003D0975"/>
    <w:rsid w:val="003D1171"/>
    <w:rsid w:val="003D1CFA"/>
    <w:rsid w:val="003D1E8C"/>
    <w:rsid w:val="003D2A20"/>
    <w:rsid w:val="003D4497"/>
    <w:rsid w:val="003D4542"/>
    <w:rsid w:val="003D4BEB"/>
    <w:rsid w:val="003D4CA7"/>
    <w:rsid w:val="003D4E48"/>
    <w:rsid w:val="003D51B0"/>
    <w:rsid w:val="003D522D"/>
    <w:rsid w:val="003D5CDF"/>
    <w:rsid w:val="003D6098"/>
    <w:rsid w:val="003D7FE3"/>
    <w:rsid w:val="003E01D0"/>
    <w:rsid w:val="003E04C8"/>
    <w:rsid w:val="003E330B"/>
    <w:rsid w:val="003E355B"/>
    <w:rsid w:val="003E58FF"/>
    <w:rsid w:val="003E5CA8"/>
    <w:rsid w:val="003E5F22"/>
    <w:rsid w:val="003E735F"/>
    <w:rsid w:val="003F04A1"/>
    <w:rsid w:val="003F0AE9"/>
    <w:rsid w:val="003F0ED7"/>
    <w:rsid w:val="003F17D9"/>
    <w:rsid w:val="003F1C58"/>
    <w:rsid w:val="003F34B2"/>
    <w:rsid w:val="003F39F2"/>
    <w:rsid w:val="003F40D7"/>
    <w:rsid w:val="003F4188"/>
    <w:rsid w:val="003F4676"/>
    <w:rsid w:val="003F4986"/>
    <w:rsid w:val="003F55D8"/>
    <w:rsid w:val="003F59EB"/>
    <w:rsid w:val="003F62C6"/>
    <w:rsid w:val="003F777C"/>
    <w:rsid w:val="0040076F"/>
    <w:rsid w:val="00401496"/>
    <w:rsid w:val="004017D4"/>
    <w:rsid w:val="00402109"/>
    <w:rsid w:val="00402303"/>
    <w:rsid w:val="0040241C"/>
    <w:rsid w:val="004025D6"/>
    <w:rsid w:val="0040291D"/>
    <w:rsid w:val="00403252"/>
    <w:rsid w:val="004041B4"/>
    <w:rsid w:val="00404FEF"/>
    <w:rsid w:val="0040615B"/>
    <w:rsid w:val="0040799E"/>
    <w:rsid w:val="0041008E"/>
    <w:rsid w:val="004107DE"/>
    <w:rsid w:val="00412499"/>
    <w:rsid w:val="00414417"/>
    <w:rsid w:val="00414A65"/>
    <w:rsid w:val="00414C4B"/>
    <w:rsid w:val="00415DC6"/>
    <w:rsid w:val="00416433"/>
    <w:rsid w:val="00416541"/>
    <w:rsid w:val="004169D1"/>
    <w:rsid w:val="004172EB"/>
    <w:rsid w:val="00417C68"/>
    <w:rsid w:val="00417FBC"/>
    <w:rsid w:val="00420E86"/>
    <w:rsid w:val="00421A98"/>
    <w:rsid w:val="00421B43"/>
    <w:rsid w:val="00421F4C"/>
    <w:rsid w:val="00422593"/>
    <w:rsid w:val="00422680"/>
    <w:rsid w:val="00422A21"/>
    <w:rsid w:val="00422A46"/>
    <w:rsid w:val="004231B2"/>
    <w:rsid w:val="00423757"/>
    <w:rsid w:val="00423C9F"/>
    <w:rsid w:val="00423DDA"/>
    <w:rsid w:val="00423F7E"/>
    <w:rsid w:val="0042491D"/>
    <w:rsid w:val="00424922"/>
    <w:rsid w:val="00424DBE"/>
    <w:rsid w:val="00425220"/>
    <w:rsid w:val="00425233"/>
    <w:rsid w:val="00425697"/>
    <w:rsid w:val="0042608E"/>
    <w:rsid w:val="004263E2"/>
    <w:rsid w:val="00426684"/>
    <w:rsid w:val="00426F42"/>
    <w:rsid w:val="004273E2"/>
    <w:rsid w:val="00427464"/>
    <w:rsid w:val="0043080E"/>
    <w:rsid w:val="00430DCF"/>
    <w:rsid w:val="00431150"/>
    <w:rsid w:val="00431B7D"/>
    <w:rsid w:val="00433EB1"/>
    <w:rsid w:val="004342EE"/>
    <w:rsid w:val="004351C7"/>
    <w:rsid w:val="00436E32"/>
    <w:rsid w:val="00437D40"/>
    <w:rsid w:val="00440542"/>
    <w:rsid w:val="004424C9"/>
    <w:rsid w:val="00443203"/>
    <w:rsid w:val="00443280"/>
    <w:rsid w:val="00443C0F"/>
    <w:rsid w:val="00443C42"/>
    <w:rsid w:val="00443F69"/>
    <w:rsid w:val="0044405D"/>
    <w:rsid w:val="004441DC"/>
    <w:rsid w:val="004443A6"/>
    <w:rsid w:val="004445D9"/>
    <w:rsid w:val="0044553B"/>
    <w:rsid w:val="004468FE"/>
    <w:rsid w:val="0045071E"/>
    <w:rsid w:val="00450999"/>
    <w:rsid w:val="00450A34"/>
    <w:rsid w:val="00450D06"/>
    <w:rsid w:val="00451266"/>
    <w:rsid w:val="00451AE8"/>
    <w:rsid w:val="00451DDB"/>
    <w:rsid w:val="00452690"/>
    <w:rsid w:val="00453373"/>
    <w:rsid w:val="00453A73"/>
    <w:rsid w:val="00453EAA"/>
    <w:rsid w:val="004547EE"/>
    <w:rsid w:val="00455519"/>
    <w:rsid w:val="004555A1"/>
    <w:rsid w:val="00456BA0"/>
    <w:rsid w:val="0045751C"/>
    <w:rsid w:val="004601D9"/>
    <w:rsid w:val="00460351"/>
    <w:rsid w:val="00460957"/>
    <w:rsid w:val="00460E77"/>
    <w:rsid w:val="00461891"/>
    <w:rsid w:val="00462109"/>
    <w:rsid w:val="00462B64"/>
    <w:rsid w:val="00462C40"/>
    <w:rsid w:val="00463469"/>
    <w:rsid w:val="00463AD9"/>
    <w:rsid w:val="00463BB6"/>
    <w:rsid w:val="00463EA8"/>
    <w:rsid w:val="004645DD"/>
    <w:rsid w:val="00464609"/>
    <w:rsid w:val="00464668"/>
    <w:rsid w:val="004664D3"/>
    <w:rsid w:val="00466A26"/>
    <w:rsid w:val="00466DAD"/>
    <w:rsid w:val="00467261"/>
    <w:rsid w:val="00467C81"/>
    <w:rsid w:val="004709C9"/>
    <w:rsid w:val="00470D1D"/>
    <w:rsid w:val="00470DB6"/>
    <w:rsid w:val="00472156"/>
    <w:rsid w:val="0047300F"/>
    <w:rsid w:val="00473125"/>
    <w:rsid w:val="00473A95"/>
    <w:rsid w:val="004749B0"/>
    <w:rsid w:val="004753DB"/>
    <w:rsid w:val="004768BB"/>
    <w:rsid w:val="0047771F"/>
    <w:rsid w:val="004777CC"/>
    <w:rsid w:val="00477BEB"/>
    <w:rsid w:val="0048068D"/>
    <w:rsid w:val="00480BFE"/>
    <w:rsid w:val="004813F4"/>
    <w:rsid w:val="00481A39"/>
    <w:rsid w:val="0048282F"/>
    <w:rsid w:val="00482D4A"/>
    <w:rsid w:val="00483B59"/>
    <w:rsid w:val="00483F7E"/>
    <w:rsid w:val="004841AD"/>
    <w:rsid w:val="004843D1"/>
    <w:rsid w:val="00484BDD"/>
    <w:rsid w:val="00485864"/>
    <w:rsid w:val="00485F3A"/>
    <w:rsid w:val="00486872"/>
    <w:rsid w:val="004869E6"/>
    <w:rsid w:val="00487C17"/>
    <w:rsid w:val="0049007C"/>
    <w:rsid w:val="00490960"/>
    <w:rsid w:val="00491B7B"/>
    <w:rsid w:val="004925D6"/>
    <w:rsid w:val="0049304A"/>
    <w:rsid w:val="00493424"/>
    <w:rsid w:val="0049345D"/>
    <w:rsid w:val="00494105"/>
    <w:rsid w:val="004950DB"/>
    <w:rsid w:val="00495334"/>
    <w:rsid w:val="00495787"/>
    <w:rsid w:val="00495A3A"/>
    <w:rsid w:val="00495BE5"/>
    <w:rsid w:val="004966F5"/>
    <w:rsid w:val="0049724B"/>
    <w:rsid w:val="00497665"/>
    <w:rsid w:val="004A26BC"/>
    <w:rsid w:val="004A481D"/>
    <w:rsid w:val="004A4B16"/>
    <w:rsid w:val="004A4C68"/>
    <w:rsid w:val="004A5AF8"/>
    <w:rsid w:val="004A6029"/>
    <w:rsid w:val="004A606F"/>
    <w:rsid w:val="004A6F49"/>
    <w:rsid w:val="004A71FD"/>
    <w:rsid w:val="004A740C"/>
    <w:rsid w:val="004A7B65"/>
    <w:rsid w:val="004A7F40"/>
    <w:rsid w:val="004B00D4"/>
    <w:rsid w:val="004B0198"/>
    <w:rsid w:val="004B0B56"/>
    <w:rsid w:val="004B1218"/>
    <w:rsid w:val="004B195B"/>
    <w:rsid w:val="004B1C83"/>
    <w:rsid w:val="004B2D01"/>
    <w:rsid w:val="004B37A2"/>
    <w:rsid w:val="004B3C07"/>
    <w:rsid w:val="004B3DDD"/>
    <w:rsid w:val="004B3F07"/>
    <w:rsid w:val="004B406F"/>
    <w:rsid w:val="004B4328"/>
    <w:rsid w:val="004B4965"/>
    <w:rsid w:val="004B4F75"/>
    <w:rsid w:val="004B501D"/>
    <w:rsid w:val="004B5037"/>
    <w:rsid w:val="004B588A"/>
    <w:rsid w:val="004B5ABE"/>
    <w:rsid w:val="004B5ACE"/>
    <w:rsid w:val="004B610B"/>
    <w:rsid w:val="004B6EC4"/>
    <w:rsid w:val="004B73AD"/>
    <w:rsid w:val="004B76D8"/>
    <w:rsid w:val="004B76D9"/>
    <w:rsid w:val="004B7DDD"/>
    <w:rsid w:val="004C051C"/>
    <w:rsid w:val="004C1032"/>
    <w:rsid w:val="004C2481"/>
    <w:rsid w:val="004C2B69"/>
    <w:rsid w:val="004C342E"/>
    <w:rsid w:val="004C3AFA"/>
    <w:rsid w:val="004C432F"/>
    <w:rsid w:val="004C4A7A"/>
    <w:rsid w:val="004C5EF0"/>
    <w:rsid w:val="004C609D"/>
    <w:rsid w:val="004C6A7E"/>
    <w:rsid w:val="004C6B4A"/>
    <w:rsid w:val="004C6C31"/>
    <w:rsid w:val="004D022A"/>
    <w:rsid w:val="004D13FD"/>
    <w:rsid w:val="004D19F1"/>
    <w:rsid w:val="004D2011"/>
    <w:rsid w:val="004D27D8"/>
    <w:rsid w:val="004D2B89"/>
    <w:rsid w:val="004D3958"/>
    <w:rsid w:val="004D3BBA"/>
    <w:rsid w:val="004D46CA"/>
    <w:rsid w:val="004D47D6"/>
    <w:rsid w:val="004D5296"/>
    <w:rsid w:val="004D5A92"/>
    <w:rsid w:val="004D5CE9"/>
    <w:rsid w:val="004D5F2C"/>
    <w:rsid w:val="004D71F3"/>
    <w:rsid w:val="004D7418"/>
    <w:rsid w:val="004D76C3"/>
    <w:rsid w:val="004D7FF5"/>
    <w:rsid w:val="004E240C"/>
    <w:rsid w:val="004E2471"/>
    <w:rsid w:val="004E24F4"/>
    <w:rsid w:val="004E2A16"/>
    <w:rsid w:val="004E3A05"/>
    <w:rsid w:val="004E4959"/>
    <w:rsid w:val="004E5B47"/>
    <w:rsid w:val="004E62E8"/>
    <w:rsid w:val="004E6611"/>
    <w:rsid w:val="004E666A"/>
    <w:rsid w:val="004E6806"/>
    <w:rsid w:val="004E7849"/>
    <w:rsid w:val="004E7C4E"/>
    <w:rsid w:val="004E7CB8"/>
    <w:rsid w:val="004F0A69"/>
    <w:rsid w:val="004F1A85"/>
    <w:rsid w:val="004F1EA8"/>
    <w:rsid w:val="004F2CCD"/>
    <w:rsid w:val="004F321F"/>
    <w:rsid w:val="004F387F"/>
    <w:rsid w:val="004F51C3"/>
    <w:rsid w:val="004F5207"/>
    <w:rsid w:val="004F56A7"/>
    <w:rsid w:val="004F5D62"/>
    <w:rsid w:val="004F60BE"/>
    <w:rsid w:val="004F7B72"/>
    <w:rsid w:val="00500240"/>
    <w:rsid w:val="005006F8"/>
    <w:rsid w:val="00502444"/>
    <w:rsid w:val="005029EF"/>
    <w:rsid w:val="005031F5"/>
    <w:rsid w:val="005038F3"/>
    <w:rsid w:val="00503FCC"/>
    <w:rsid w:val="00504AD2"/>
    <w:rsid w:val="0050574B"/>
    <w:rsid w:val="00506946"/>
    <w:rsid w:val="00507934"/>
    <w:rsid w:val="005100D7"/>
    <w:rsid w:val="00510785"/>
    <w:rsid w:val="00511F9D"/>
    <w:rsid w:val="00512A7D"/>
    <w:rsid w:val="00513090"/>
    <w:rsid w:val="00513B9D"/>
    <w:rsid w:val="00513D33"/>
    <w:rsid w:val="00514916"/>
    <w:rsid w:val="00515401"/>
    <w:rsid w:val="00516185"/>
    <w:rsid w:val="005164D7"/>
    <w:rsid w:val="00516657"/>
    <w:rsid w:val="00517BB8"/>
    <w:rsid w:val="00517BE4"/>
    <w:rsid w:val="00517C36"/>
    <w:rsid w:val="00521587"/>
    <w:rsid w:val="00521618"/>
    <w:rsid w:val="00521A54"/>
    <w:rsid w:val="00522B71"/>
    <w:rsid w:val="00522B99"/>
    <w:rsid w:val="00522FFB"/>
    <w:rsid w:val="00524088"/>
    <w:rsid w:val="00525502"/>
    <w:rsid w:val="00525EE2"/>
    <w:rsid w:val="00525F4C"/>
    <w:rsid w:val="005267D5"/>
    <w:rsid w:val="0052784C"/>
    <w:rsid w:val="00530AEE"/>
    <w:rsid w:val="00530B01"/>
    <w:rsid w:val="00530C33"/>
    <w:rsid w:val="005319D0"/>
    <w:rsid w:val="00532306"/>
    <w:rsid w:val="00532D19"/>
    <w:rsid w:val="00535847"/>
    <w:rsid w:val="00535B21"/>
    <w:rsid w:val="00537CE2"/>
    <w:rsid w:val="00540A63"/>
    <w:rsid w:val="00540C36"/>
    <w:rsid w:val="00540F65"/>
    <w:rsid w:val="005410F6"/>
    <w:rsid w:val="00541408"/>
    <w:rsid w:val="00541626"/>
    <w:rsid w:val="005416BE"/>
    <w:rsid w:val="0054208D"/>
    <w:rsid w:val="00542688"/>
    <w:rsid w:val="00543FF2"/>
    <w:rsid w:val="005442C5"/>
    <w:rsid w:val="0054456F"/>
    <w:rsid w:val="005445D2"/>
    <w:rsid w:val="005447EF"/>
    <w:rsid w:val="00544D8F"/>
    <w:rsid w:val="00544E2B"/>
    <w:rsid w:val="00545E48"/>
    <w:rsid w:val="0054693D"/>
    <w:rsid w:val="00546986"/>
    <w:rsid w:val="00546BDA"/>
    <w:rsid w:val="005473D2"/>
    <w:rsid w:val="00547B6E"/>
    <w:rsid w:val="005502EF"/>
    <w:rsid w:val="0055042D"/>
    <w:rsid w:val="00550B6E"/>
    <w:rsid w:val="00550E67"/>
    <w:rsid w:val="00553295"/>
    <w:rsid w:val="005537AC"/>
    <w:rsid w:val="00553DA8"/>
    <w:rsid w:val="0055405E"/>
    <w:rsid w:val="00554519"/>
    <w:rsid w:val="00554C02"/>
    <w:rsid w:val="00555036"/>
    <w:rsid w:val="00555F40"/>
    <w:rsid w:val="00556AD6"/>
    <w:rsid w:val="00556F22"/>
    <w:rsid w:val="00557256"/>
    <w:rsid w:val="00557365"/>
    <w:rsid w:val="0055753E"/>
    <w:rsid w:val="00562884"/>
    <w:rsid w:val="0056288E"/>
    <w:rsid w:val="00563184"/>
    <w:rsid w:val="00563494"/>
    <w:rsid w:val="00564DD2"/>
    <w:rsid w:val="0056541F"/>
    <w:rsid w:val="00565826"/>
    <w:rsid w:val="00565868"/>
    <w:rsid w:val="00567401"/>
    <w:rsid w:val="00567E5B"/>
    <w:rsid w:val="00567EF7"/>
    <w:rsid w:val="0057033E"/>
    <w:rsid w:val="00570CCF"/>
    <w:rsid w:val="0057226B"/>
    <w:rsid w:val="00572513"/>
    <w:rsid w:val="00574344"/>
    <w:rsid w:val="00574614"/>
    <w:rsid w:val="00574B1D"/>
    <w:rsid w:val="00575AA2"/>
    <w:rsid w:val="00575D98"/>
    <w:rsid w:val="00576FE4"/>
    <w:rsid w:val="00577297"/>
    <w:rsid w:val="00577398"/>
    <w:rsid w:val="005774CC"/>
    <w:rsid w:val="00577888"/>
    <w:rsid w:val="0057791D"/>
    <w:rsid w:val="00577DD5"/>
    <w:rsid w:val="0058167A"/>
    <w:rsid w:val="005818B1"/>
    <w:rsid w:val="0058198B"/>
    <w:rsid w:val="005819FD"/>
    <w:rsid w:val="00581CCE"/>
    <w:rsid w:val="0058212A"/>
    <w:rsid w:val="00582563"/>
    <w:rsid w:val="00582C8B"/>
    <w:rsid w:val="00582F0B"/>
    <w:rsid w:val="005834DB"/>
    <w:rsid w:val="00583BF7"/>
    <w:rsid w:val="005847D3"/>
    <w:rsid w:val="00584B51"/>
    <w:rsid w:val="0058580B"/>
    <w:rsid w:val="00585AF7"/>
    <w:rsid w:val="00585D3D"/>
    <w:rsid w:val="005873D9"/>
    <w:rsid w:val="005875B1"/>
    <w:rsid w:val="00587DE1"/>
    <w:rsid w:val="0059091B"/>
    <w:rsid w:val="00592972"/>
    <w:rsid w:val="00593475"/>
    <w:rsid w:val="0059427F"/>
    <w:rsid w:val="00595336"/>
    <w:rsid w:val="0059538E"/>
    <w:rsid w:val="005966E8"/>
    <w:rsid w:val="005A1FF1"/>
    <w:rsid w:val="005A26F9"/>
    <w:rsid w:val="005A3AEE"/>
    <w:rsid w:val="005A4288"/>
    <w:rsid w:val="005A42D9"/>
    <w:rsid w:val="005A4309"/>
    <w:rsid w:val="005A4A36"/>
    <w:rsid w:val="005A50B5"/>
    <w:rsid w:val="005A62A2"/>
    <w:rsid w:val="005A674A"/>
    <w:rsid w:val="005A6E4F"/>
    <w:rsid w:val="005A7022"/>
    <w:rsid w:val="005A7205"/>
    <w:rsid w:val="005A7353"/>
    <w:rsid w:val="005B0975"/>
    <w:rsid w:val="005B0B41"/>
    <w:rsid w:val="005B0DBD"/>
    <w:rsid w:val="005B19F6"/>
    <w:rsid w:val="005B1C15"/>
    <w:rsid w:val="005B2DCC"/>
    <w:rsid w:val="005B32DD"/>
    <w:rsid w:val="005B3600"/>
    <w:rsid w:val="005B4517"/>
    <w:rsid w:val="005B4710"/>
    <w:rsid w:val="005B4867"/>
    <w:rsid w:val="005B502A"/>
    <w:rsid w:val="005B51DA"/>
    <w:rsid w:val="005B655D"/>
    <w:rsid w:val="005C08A3"/>
    <w:rsid w:val="005C0CEE"/>
    <w:rsid w:val="005C0DAF"/>
    <w:rsid w:val="005C12C1"/>
    <w:rsid w:val="005C1B83"/>
    <w:rsid w:val="005C1E15"/>
    <w:rsid w:val="005C1F99"/>
    <w:rsid w:val="005C2773"/>
    <w:rsid w:val="005C2C1E"/>
    <w:rsid w:val="005C3889"/>
    <w:rsid w:val="005C44B8"/>
    <w:rsid w:val="005C5359"/>
    <w:rsid w:val="005C5E6B"/>
    <w:rsid w:val="005C6852"/>
    <w:rsid w:val="005C7706"/>
    <w:rsid w:val="005C7C83"/>
    <w:rsid w:val="005D0F67"/>
    <w:rsid w:val="005D2DBD"/>
    <w:rsid w:val="005D6C6B"/>
    <w:rsid w:val="005D74F4"/>
    <w:rsid w:val="005D7EC3"/>
    <w:rsid w:val="005E0FB7"/>
    <w:rsid w:val="005E1176"/>
    <w:rsid w:val="005E1D9B"/>
    <w:rsid w:val="005E1ED5"/>
    <w:rsid w:val="005E31D5"/>
    <w:rsid w:val="005E3726"/>
    <w:rsid w:val="005E3A29"/>
    <w:rsid w:val="005E3FB1"/>
    <w:rsid w:val="005E4AFF"/>
    <w:rsid w:val="005E67A2"/>
    <w:rsid w:val="005E6E1E"/>
    <w:rsid w:val="005E714F"/>
    <w:rsid w:val="005E7E4B"/>
    <w:rsid w:val="005F01B9"/>
    <w:rsid w:val="005F0D14"/>
    <w:rsid w:val="005F173C"/>
    <w:rsid w:val="005F1B52"/>
    <w:rsid w:val="005F2588"/>
    <w:rsid w:val="005F25E1"/>
    <w:rsid w:val="005F29D5"/>
    <w:rsid w:val="005F325E"/>
    <w:rsid w:val="005F34C0"/>
    <w:rsid w:val="005F37B4"/>
    <w:rsid w:val="005F3FE3"/>
    <w:rsid w:val="005F4F3C"/>
    <w:rsid w:val="005F5758"/>
    <w:rsid w:val="005F618B"/>
    <w:rsid w:val="005F6203"/>
    <w:rsid w:val="005F6214"/>
    <w:rsid w:val="005F73F6"/>
    <w:rsid w:val="006004D0"/>
    <w:rsid w:val="00600BDC"/>
    <w:rsid w:val="00600C84"/>
    <w:rsid w:val="00600D61"/>
    <w:rsid w:val="006013A3"/>
    <w:rsid w:val="006038E6"/>
    <w:rsid w:val="00603AB4"/>
    <w:rsid w:val="00603C33"/>
    <w:rsid w:val="00604156"/>
    <w:rsid w:val="00604435"/>
    <w:rsid w:val="006048B8"/>
    <w:rsid w:val="006053D8"/>
    <w:rsid w:val="00605C90"/>
    <w:rsid w:val="006063C6"/>
    <w:rsid w:val="0060757D"/>
    <w:rsid w:val="00607CCB"/>
    <w:rsid w:val="00607FD8"/>
    <w:rsid w:val="006101AC"/>
    <w:rsid w:val="006118A6"/>
    <w:rsid w:val="00611F26"/>
    <w:rsid w:val="006125CF"/>
    <w:rsid w:val="00612DBE"/>
    <w:rsid w:val="0061359D"/>
    <w:rsid w:val="006136DD"/>
    <w:rsid w:val="00613B52"/>
    <w:rsid w:val="00613CBE"/>
    <w:rsid w:val="00614375"/>
    <w:rsid w:val="00614621"/>
    <w:rsid w:val="006149E8"/>
    <w:rsid w:val="006156CB"/>
    <w:rsid w:val="0061577A"/>
    <w:rsid w:val="0061580E"/>
    <w:rsid w:val="00615D03"/>
    <w:rsid w:val="006177C5"/>
    <w:rsid w:val="00617ED4"/>
    <w:rsid w:val="00617F35"/>
    <w:rsid w:val="00620869"/>
    <w:rsid w:val="00620AF5"/>
    <w:rsid w:val="00620B89"/>
    <w:rsid w:val="00620C7D"/>
    <w:rsid w:val="00620E59"/>
    <w:rsid w:val="006215B9"/>
    <w:rsid w:val="0062221F"/>
    <w:rsid w:val="0062238A"/>
    <w:rsid w:val="00622ABA"/>
    <w:rsid w:val="0062387A"/>
    <w:rsid w:val="00623F3A"/>
    <w:rsid w:val="00624420"/>
    <w:rsid w:val="0062479E"/>
    <w:rsid w:val="00624EC1"/>
    <w:rsid w:val="00625BA0"/>
    <w:rsid w:val="006262A7"/>
    <w:rsid w:val="00626743"/>
    <w:rsid w:val="00627204"/>
    <w:rsid w:val="0062756B"/>
    <w:rsid w:val="0062785D"/>
    <w:rsid w:val="006278FD"/>
    <w:rsid w:val="006305B8"/>
    <w:rsid w:val="00631317"/>
    <w:rsid w:val="00631775"/>
    <w:rsid w:val="00633783"/>
    <w:rsid w:val="006337AA"/>
    <w:rsid w:val="00633CE1"/>
    <w:rsid w:val="0063401C"/>
    <w:rsid w:val="00634157"/>
    <w:rsid w:val="00634F3E"/>
    <w:rsid w:val="006357E9"/>
    <w:rsid w:val="00636473"/>
    <w:rsid w:val="006364D9"/>
    <w:rsid w:val="00636946"/>
    <w:rsid w:val="00636CB8"/>
    <w:rsid w:val="00636DCF"/>
    <w:rsid w:val="00637DA7"/>
    <w:rsid w:val="00637F2F"/>
    <w:rsid w:val="00640AC0"/>
    <w:rsid w:val="00640FC6"/>
    <w:rsid w:val="00641593"/>
    <w:rsid w:val="006419E3"/>
    <w:rsid w:val="00642125"/>
    <w:rsid w:val="00642931"/>
    <w:rsid w:val="00642BBE"/>
    <w:rsid w:val="00642FC7"/>
    <w:rsid w:val="00644120"/>
    <w:rsid w:val="006443B4"/>
    <w:rsid w:val="00645286"/>
    <w:rsid w:val="00646710"/>
    <w:rsid w:val="00646A92"/>
    <w:rsid w:val="006471E0"/>
    <w:rsid w:val="006475D1"/>
    <w:rsid w:val="006476FE"/>
    <w:rsid w:val="006478CD"/>
    <w:rsid w:val="00650DA7"/>
    <w:rsid w:val="006510B8"/>
    <w:rsid w:val="0065165E"/>
    <w:rsid w:val="00652653"/>
    <w:rsid w:val="00652DA4"/>
    <w:rsid w:val="00652DB8"/>
    <w:rsid w:val="0065339B"/>
    <w:rsid w:val="00653621"/>
    <w:rsid w:val="00653A07"/>
    <w:rsid w:val="0065412D"/>
    <w:rsid w:val="00654694"/>
    <w:rsid w:val="006560F6"/>
    <w:rsid w:val="00656A95"/>
    <w:rsid w:val="006577F7"/>
    <w:rsid w:val="00657A4E"/>
    <w:rsid w:val="00657FEB"/>
    <w:rsid w:val="00660A97"/>
    <w:rsid w:val="00662149"/>
    <w:rsid w:val="00662DBD"/>
    <w:rsid w:val="0066303C"/>
    <w:rsid w:val="006642AA"/>
    <w:rsid w:val="00664BD5"/>
    <w:rsid w:val="00664F6F"/>
    <w:rsid w:val="00665025"/>
    <w:rsid w:val="00665BF5"/>
    <w:rsid w:val="0066631C"/>
    <w:rsid w:val="00666BE3"/>
    <w:rsid w:val="00670288"/>
    <w:rsid w:val="006702AD"/>
    <w:rsid w:val="00670908"/>
    <w:rsid w:val="0067156F"/>
    <w:rsid w:val="006728E6"/>
    <w:rsid w:val="00673E8F"/>
    <w:rsid w:val="00674EA9"/>
    <w:rsid w:val="006751C2"/>
    <w:rsid w:val="0067611C"/>
    <w:rsid w:val="00676168"/>
    <w:rsid w:val="0067656E"/>
    <w:rsid w:val="00676F12"/>
    <w:rsid w:val="0067712D"/>
    <w:rsid w:val="006772FB"/>
    <w:rsid w:val="00677CB9"/>
    <w:rsid w:val="00677DBC"/>
    <w:rsid w:val="0068068C"/>
    <w:rsid w:val="00680D07"/>
    <w:rsid w:val="00681B8C"/>
    <w:rsid w:val="00681C9F"/>
    <w:rsid w:val="00682C86"/>
    <w:rsid w:val="006831B7"/>
    <w:rsid w:val="00684238"/>
    <w:rsid w:val="0068428C"/>
    <w:rsid w:val="0068460E"/>
    <w:rsid w:val="00684676"/>
    <w:rsid w:val="0068667B"/>
    <w:rsid w:val="00687286"/>
    <w:rsid w:val="00690522"/>
    <w:rsid w:val="006906E3"/>
    <w:rsid w:val="00691079"/>
    <w:rsid w:val="00692F98"/>
    <w:rsid w:val="006938E2"/>
    <w:rsid w:val="0069467A"/>
    <w:rsid w:val="00695484"/>
    <w:rsid w:val="0069566D"/>
    <w:rsid w:val="00696BA4"/>
    <w:rsid w:val="00697274"/>
    <w:rsid w:val="00697B90"/>
    <w:rsid w:val="006A0000"/>
    <w:rsid w:val="006A01F8"/>
    <w:rsid w:val="006A1243"/>
    <w:rsid w:val="006A1471"/>
    <w:rsid w:val="006A289A"/>
    <w:rsid w:val="006A2E23"/>
    <w:rsid w:val="006A3AFE"/>
    <w:rsid w:val="006A48BF"/>
    <w:rsid w:val="006A5213"/>
    <w:rsid w:val="006A541D"/>
    <w:rsid w:val="006A544A"/>
    <w:rsid w:val="006A680A"/>
    <w:rsid w:val="006A6874"/>
    <w:rsid w:val="006A6882"/>
    <w:rsid w:val="006A7A41"/>
    <w:rsid w:val="006A7A53"/>
    <w:rsid w:val="006B0440"/>
    <w:rsid w:val="006B06D3"/>
    <w:rsid w:val="006B1498"/>
    <w:rsid w:val="006B256D"/>
    <w:rsid w:val="006B27FC"/>
    <w:rsid w:val="006B367B"/>
    <w:rsid w:val="006B4A43"/>
    <w:rsid w:val="006B5597"/>
    <w:rsid w:val="006B5773"/>
    <w:rsid w:val="006B5A0F"/>
    <w:rsid w:val="006B6690"/>
    <w:rsid w:val="006B7440"/>
    <w:rsid w:val="006B7AC2"/>
    <w:rsid w:val="006C0309"/>
    <w:rsid w:val="006C1559"/>
    <w:rsid w:val="006C1A56"/>
    <w:rsid w:val="006C2F93"/>
    <w:rsid w:val="006C49D2"/>
    <w:rsid w:val="006C4BA2"/>
    <w:rsid w:val="006C4BB7"/>
    <w:rsid w:val="006C5299"/>
    <w:rsid w:val="006C63A7"/>
    <w:rsid w:val="006C76EC"/>
    <w:rsid w:val="006D021D"/>
    <w:rsid w:val="006D1E35"/>
    <w:rsid w:val="006D2313"/>
    <w:rsid w:val="006D29FA"/>
    <w:rsid w:val="006D2A4A"/>
    <w:rsid w:val="006D2B8C"/>
    <w:rsid w:val="006D2BA0"/>
    <w:rsid w:val="006D3A1F"/>
    <w:rsid w:val="006D3C75"/>
    <w:rsid w:val="006D4D06"/>
    <w:rsid w:val="006D5685"/>
    <w:rsid w:val="006D58E7"/>
    <w:rsid w:val="006D5963"/>
    <w:rsid w:val="006D6037"/>
    <w:rsid w:val="006D646D"/>
    <w:rsid w:val="006D6745"/>
    <w:rsid w:val="006D6CA1"/>
    <w:rsid w:val="006E02D9"/>
    <w:rsid w:val="006E1ABA"/>
    <w:rsid w:val="006E1CD0"/>
    <w:rsid w:val="006E1D7B"/>
    <w:rsid w:val="006E3364"/>
    <w:rsid w:val="006E342A"/>
    <w:rsid w:val="006E3655"/>
    <w:rsid w:val="006E41D9"/>
    <w:rsid w:val="006E4EBC"/>
    <w:rsid w:val="006E644A"/>
    <w:rsid w:val="006E6952"/>
    <w:rsid w:val="006E73ED"/>
    <w:rsid w:val="006E7869"/>
    <w:rsid w:val="006F06EC"/>
    <w:rsid w:val="006F1513"/>
    <w:rsid w:val="006F365C"/>
    <w:rsid w:val="006F3686"/>
    <w:rsid w:val="006F3A8C"/>
    <w:rsid w:val="006F3DA9"/>
    <w:rsid w:val="006F4CB4"/>
    <w:rsid w:val="006F5BB7"/>
    <w:rsid w:val="006F5CC2"/>
    <w:rsid w:val="006F64B7"/>
    <w:rsid w:val="006F6767"/>
    <w:rsid w:val="006F6BEE"/>
    <w:rsid w:val="006F6CC4"/>
    <w:rsid w:val="006F783A"/>
    <w:rsid w:val="006F7BAA"/>
    <w:rsid w:val="006F7F5B"/>
    <w:rsid w:val="00701728"/>
    <w:rsid w:val="00701E49"/>
    <w:rsid w:val="00704A90"/>
    <w:rsid w:val="00705AEF"/>
    <w:rsid w:val="00705DB6"/>
    <w:rsid w:val="00706AF7"/>
    <w:rsid w:val="00706CB4"/>
    <w:rsid w:val="00707427"/>
    <w:rsid w:val="007079D2"/>
    <w:rsid w:val="00707BAC"/>
    <w:rsid w:val="00710445"/>
    <w:rsid w:val="0071073F"/>
    <w:rsid w:val="00710DFC"/>
    <w:rsid w:val="00711314"/>
    <w:rsid w:val="00711423"/>
    <w:rsid w:val="00711AFA"/>
    <w:rsid w:val="0071273D"/>
    <w:rsid w:val="007128D7"/>
    <w:rsid w:val="00714FF6"/>
    <w:rsid w:val="00716833"/>
    <w:rsid w:val="00717810"/>
    <w:rsid w:val="00717AB3"/>
    <w:rsid w:val="00720235"/>
    <w:rsid w:val="00721D07"/>
    <w:rsid w:val="007224C8"/>
    <w:rsid w:val="007236D4"/>
    <w:rsid w:val="00723D4B"/>
    <w:rsid w:val="00724099"/>
    <w:rsid w:val="007249E9"/>
    <w:rsid w:val="00724A3C"/>
    <w:rsid w:val="00724E16"/>
    <w:rsid w:val="007250E6"/>
    <w:rsid w:val="00725A97"/>
    <w:rsid w:val="0072607A"/>
    <w:rsid w:val="0072615C"/>
    <w:rsid w:val="00726604"/>
    <w:rsid w:val="00726F10"/>
    <w:rsid w:val="00727A64"/>
    <w:rsid w:val="00727CB1"/>
    <w:rsid w:val="007304CB"/>
    <w:rsid w:val="00730C07"/>
    <w:rsid w:val="00731731"/>
    <w:rsid w:val="00731739"/>
    <w:rsid w:val="00731B4A"/>
    <w:rsid w:val="00731F61"/>
    <w:rsid w:val="00732157"/>
    <w:rsid w:val="00732D64"/>
    <w:rsid w:val="00733371"/>
    <w:rsid w:val="0073353D"/>
    <w:rsid w:val="00733872"/>
    <w:rsid w:val="00734662"/>
    <w:rsid w:val="00735078"/>
    <w:rsid w:val="0073515B"/>
    <w:rsid w:val="007354B0"/>
    <w:rsid w:val="0073586E"/>
    <w:rsid w:val="00735A4E"/>
    <w:rsid w:val="0073605B"/>
    <w:rsid w:val="00736AFF"/>
    <w:rsid w:val="00736DBE"/>
    <w:rsid w:val="0073721F"/>
    <w:rsid w:val="0074041A"/>
    <w:rsid w:val="00741CBE"/>
    <w:rsid w:val="007425D7"/>
    <w:rsid w:val="00743316"/>
    <w:rsid w:val="00743AC9"/>
    <w:rsid w:val="007442F5"/>
    <w:rsid w:val="0074496F"/>
    <w:rsid w:val="007454CE"/>
    <w:rsid w:val="007455AD"/>
    <w:rsid w:val="00745A0F"/>
    <w:rsid w:val="00745D16"/>
    <w:rsid w:val="007461EC"/>
    <w:rsid w:val="00746CD0"/>
    <w:rsid w:val="007472C1"/>
    <w:rsid w:val="00747971"/>
    <w:rsid w:val="00747CB0"/>
    <w:rsid w:val="00750135"/>
    <w:rsid w:val="00750854"/>
    <w:rsid w:val="00751E59"/>
    <w:rsid w:val="00751F0B"/>
    <w:rsid w:val="007526E8"/>
    <w:rsid w:val="0075388B"/>
    <w:rsid w:val="007539B1"/>
    <w:rsid w:val="00753AC4"/>
    <w:rsid w:val="00753EB5"/>
    <w:rsid w:val="00754617"/>
    <w:rsid w:val="00755583"/>
    <w:rsid w:val="007576DE"/>
    <w:rsid w:val="007577D8"/>
    <w:rsid w:val="00760017"/>
    <w:rsid w:val="00762E1C"/>
    <w:rsid w:val="007646F6"/>
    <w:rsid w:val="00764B25"/>
    <w:rsid w:val="0076503D"/>
    <w:rsid w:val="00765340"/>
    <w:rsid w:val="007655D5"/>
    <w:rsid w:val="007657AA"/>
    <w:rsid w:val="007669D8"/>
    <w:rsid w:val="00766C68"/>
    <w:rsid w:val="007707D4"/>
    <w:rsid w:val="0077087B"/>
    <w:rsid w:val="00770AEF"/>
    <w:rsid w:val="00770F03"/>
    <w:rsid w:val="00770FB6"/>
    <w:rsid w:val="00771723"/>
    <w:rsid w:val="00771BA2"/>
    <w:rsid w:val="00772C27"/>
    <w:rsid w:val="00773FB2"/>
    <w:rsid w:val="0077410E"/>
    <w:rsid w:val="00774CDC"/>
    <w:rsid w:val="007756A6"/>
    <w:rsid w:val="007762D0"/>
    <w:rsid w:val="00776F8F"/>
    <w:rsid w:val="00780DD9"/>
    <w:rsid w:val="00780E52"/>
    <w:rsid w:val="007813AF"/>
    <w:rsid w:val="0078299E"/>
    <w:rsid w:val="00782BE5"/>
    <w:rsid w:val="00782FE4"/>
    <w:rsid w:val="00783F2F"/>
    <w:rsid w:val="00784F3B"/>
    <w:rsid w:val="007854C6"/>
    <w:rsid w:val="00785C8A"/>
    <w:rsid w:val="00785D48"/>
    <w:rsid w:val="00786238"/>
    <w:rsid w:val="007878E2"/>
    <w:rsid w:val="00790945"/>
    <w:rsid w:val="0079097F"/>
    <w:rsid w:val="0079169F"/>
    <w:rsid w:val="00792C91"/>
    <w:rsid w:val="00793135"/>
    <w:rsid w:val="007938E9"/>
    <w:rsid w:val="00793A2D"/>
    <w:rsid w:val="00794756"/>
    <w:rsid w:val="00794866"/>
    <w:rsid w:val="00795E0C"/>
    <w:rsid w:val="00797C70"/>
    <w:rsid w:val="00797CDB"/>
    <w:rsid w:val="00797D78"/>
    <w:rsid w:val="007A0285"/>
    <w:rsid w:val="007A0422"/>
    <w:rsid w:val="007A07D5"/>
    <w:rsid w:val="007A2009"/>
    <w:rsid w:val="007A2CC5"/>
    <w:rsid w:val="007A2DB8"/>
    <w:rsid w:val="007A4268"/>
    <w:rsid w:val="007A461B"/>
    <w:rsid w:val="007A631A"/>
    <w:rsid w:val="007A6C83"/>
    <w:rsid w:val="007A6FC5"/>
    <w:rsid w:val="007A7573"/>
    <w:rsid w:val="007A75EB"/>
    <w:rsid w:val="007A78E5"/>
    <w:rsid w:val="007A7BBB"/>
    <w:rsid w:val="007B12A7"/>
    <w:rsid w:val="007B1BDC"/>
    <w:rsid w:val="007B611B"/>
    <w:rsid w:val="007B62A2"/>
    <w:rsid w:val="007B6A35"/>
    <w:rsid w:val="007B6C04"/>
    <w:rsid w:val="007B76AE"/>
    <w:rsid w:val="007B773A"/>
    <w:rsid w:val="007B7F14"/>
    <w:rsid w:val="007C1A86"/>
    <w:rsid w:val="007C212F"/>
    <w:rsid w:val="007C41D4"/>
    <w:rsid w:val="007C49D5"/>
    <w:rsid w:val="007C4AC0"/>
    <w:rsid w:val="007C5044"/>
    <w:rsid w:val="007C53AE"/>
    <w:rsid w:val="007C6206"/>
    <w:rsid w:val="007C759E"/>
    <w:rsid w:val="007D025C"/>
    <w:rsid w:val="007D08BD"/>
    <w:rsid w:val="007D0E70"/>
    <w:rsid w:val="007D0FDF"/>
    <w:rsid w:val="007D2957"/>
    <w:rsid w:val="007D3173"/>
    <w:rsid w:val="007D3B2E"/>
    <w:rsid w:val="007D521D"/>
    <w:rsid w:val="007D5450"/>
    <w:rsid w:val="007D5EE8"/>
    <w:rsid w:val="007D6B0D"/>
    <w:rsid w:val="007E0577"/>
    <w:rsid w:val="007E0ED8"/>
    <w:rsid w:val="007E1C26"/>
    <w:rsid w:val="007E30A6"/>
    <w:rsid w:val="007E377D"/>
    <w:rsid w:val="007E50DF"/>
    <w:rsid w:val="007E521C"/>
    <w:rsid w:val="007E5946"/>
    <w:rsid w:val="007E6812"/>
    <w:rsid w:val="007E7694"/>
    <w:rsid w:val="007E7E1D"/>
    <w:rsid w:val="007E7EA1"/>
    <w:rsid w:val="007F02D0"/>
    <w:rsid w:val="007F02F6"/>
    <w:rsid w:val="007F0C84"/>
    <w:rsid w:val="007F12EE"/>
    <w:rsid w:val="007F209E"/>
    <w:rsid w:val="007F2CFE"/>
    <w:rsid w:val="007F595C"/>
    <w:rsid w:val="007F5A5D"/>
    <w:rsid w:val="007F686A"/>
    <w:rsid w:val="007F7E3E"/>
    <w:rsid w:val="007F7F6C"/>
    <w:rsid w:val="00800904"/>
    <w:rsid w:val="00801052"/>
    <w:rsid w:val="00801327"/>
    <w:rsid w:val="00801496"/>
    <w:rsid w:val="008015CA"/>
    <w:rsid w:val="00801668"/>
    <w:rsid w:val="00801995"/>
    <w:rsid w:val="008024CF"/>
    <w:rsid w:val="008025AB"/>
    <w:rsid w:val="00802BE1"/>
    <w:rsid w:val="008035F7"/>
    <w:rsid w:val="00803735"/>
    <w:rsid w:val="00805645"/>
    <w:rsid w:val="00805768"/>
    <w:rsid w:val="0080766B"/>
    <w:rsid w:val="0081078C"/>
    <w:rsid w:val="00811822"/>
    <w:rsid w:val="00811AE3"/>
    <w:rsid w:val="00811BA2"/>
    <w:rsid w:val="0081216F"/>
    <w:rsid w:val="00812CD7"/>
    <w:rsid w:val="00812D59"/>
    <w:rsid w:val="00813039"/>
    <w:rsid w:val="00813110"/>
    <w:rsid w:val="0081334D"/>
    <w:rsid w:val="00813AEC"/>
    <w:rsid w:val="00815233"/>
    <w:rsid w:val="008154D9"/>
    <w:rsid w:val="00815ABE"/>
    <w:rsid w:val="008175BD"/>
    <w:rsid w:val="00820147"/>
    <w:rsid w:val="008203E6"/>
    <w:rsid w:val="00820B5D"/>
    <w:rsid w:val="00821C04"/>
    <w:rsid w:val="00822392"/>
    <w:rsid w:val="00823770"/>
    <w:rsid w:val="00824151"/>
    <w:rsid w:val="0082527E"/>
    <w:rsid w:val="0082540C"/>
    <w:rsid w:val="0082540E"/>
    <w:rsid w:val="00826665"/>
    <w:rsid w:val="00826A7D"/>
    <w:rsid w:val="00826D6D"/>
    <w:rsid w:val="00827314"/>
    <w:rsid w:val="0082785F"/>
    <w:rsid w:val="0083025F"/>
    <w:rsid w:val="00830391"/>
    <w:rsid w:val="0083043D"/>
    <w:rsid w:val="00830817"/>
    <w:rsid w:val="00830F83"/>
    <w:rsid w:val="00832FEA"/>
    <w:rsid w:val="008331EF"/>
    <w:rsid w:val="00833F80"/>
    <w:rsid w:val="008344EA"/>
    <w:rsid w:val="00834AF3"/>
    <w:rsid w:val="0083563E"/>
    <w:rsid w:val="00836283"/>
    <w:rsid w:val="00836A04"/>
    <w:rsid w:val="00837B17"/>
    <w:rsid w:val="00837BA8"/>
    <w:rsid w:val="00840539"/>
    <w:rsid w:val="008405D3"/>
    <w:rsid w:val="0084075F"/>
    <w:rsid w:val="008418D7"/>
    <w:rsid w:val="00841E19"/>
    <w:rsid w:val="00843461"/>
    <w:rsid w:val="0084362C"/>
    <w:rsid w:val="00843B20"/>
    <w:rsid w:val="008441DC"/>
    <w:rsid w:val="008444CA"/>
    <w:rsid w:val="0084457E"/>
    <w:rsid w:val="008453C6"/>
    <w:rsid w:val="00846519"/>
    <w:rsid w:val="00846BE0"/>
    <w:rsid w:val="00847780"/>
    <w:rsid w:val="00847D6B"/>
    <w:rsid w:val="00850473"/>
    <w:rsid w:val="0085098B"/>
    <w:rsid w:val="008515C2"/>
    <w:rsid w:val="00852C52"/>
    <w:rsid w:val="008532B8"/>
    <w:rsid w:val="00853AE1"/>
    <w:rsid w:val="00854421"/>
    <w:rsid w:val="008551D4"/>
    <w:rsid w:val="00860E1F"/>
    <w:rsid w:val="00861987"/>
    <w:rsid w:val="008629D7"/>
    <w:rsid w:val="00864513"/>
    <w:rsid w:val="00864855"/>
    <w:rsid w:val="008649C2"/>
    <w:rsid w:val="008651F6"/>
    <w:rsid w:val="008652C2"/>
    <w:rsid w:val="008656A3"/>
    <w:rsid w:val="00865A77"/>
    <w:rsid w:val="00865CC8"/>
    <w:rsid w:val="00866503"/>
    <w:rsid w:val="008666CF"/>
    <w:rsid w:val="00866A55"/>
    <w:rsid w:val="00866C0F"/>
    <w:rsid w:val="00866F6C"/>
    <w:rsid w:val="0086767F"/>
    <w:rsid w:val="0086786C"/>
    <w:rsid w:val="008700B3"/>
    <w:rsid w:val="00870C5E"/>
    <w:rsid w:val="00871C0C"/>
    <w:rsid w:val="00871E80"/>
    <w:rsid w:val="00872374"/>
    <w:rsid w:val="00873382"/>
    <w:rsid w:val="008735BC"/>
    <w:rsid w:val="008736AE"/>
    <w:rsid w:val="00873A9E"/>
    <w:rsid w:val="00874232"/>
    <w:rsid w:val="00875AA2"/>
    <w:rsid w:val="00876108"/>
    <w:rsid w:val="00876FAA"/>
    <w:rsid w:val="00877454"/>
    <w:rsid w:val="00877FEA"/>
    <w:rsid w:val="0088010D"/>
    <w:rsid w:val="00880B07"/>
    <w:rsid w:val="0088366C"/>
    <w:rsid w:val="008837D5"/>
    <w:rsid w:val="00885D1A"/>
    <w:rsid w:val="00886C00"/>
    <w:rsid w:val="00887822"/>
    <w:rsid w:val="008879F7"/>
    <w:rsid w:val="00887A84"/>
    <w:rsid w:val="00890633"/>
    <w:rsid w:val="008929DB"/>
    <w:rsid w:val="00892EED"/>
    <w:rsid w:val="00893539"/>
    <w:rsid w:val="00893A4B"/>
    <w:rsid w:val="00894F06"/>
    <w:rsid w:val="00895833"/>
    <w:rsid w:val="00895F5A"/>
    <w:rsid w:val="008964A4"/>
    <w:rsid w:val="008969E9"/>
    <w:rsid w:val="00897C5F"/>
    <w:rsid w:val="00897C6B"/>
    <w:rsid w:val="008A06A3"/>
    <w:rsid w:val="008A070A"/>
    <w:rsid w:val="008A0B45"/>
    <w:rsid w:val="008A63FB"/>
    <w:rsid w:val="008A65D1"/>
    <w:rsid w:val="008A7451"/>
    <w:rsid w:val="008A7CCB"/>
    <w:rsid w:val="008B1938"/>
    <w:rsid w:val="008B2265"/>
    <w:rsid w:val="008B25FA"/>
    <w:rsid w:val="008B34A9"/>
    <w:rsid w:val="008B393B"/>
    <w:rsid w:val="008B395A"/>
    <w:rsid w:val="008B3C90"/>
    <w:rsid w:val="008B431C"/>
    <w:rsid w:val="008B45FA"/>
    <w:rsid w:val="008B472E"/>
    <w:rsid w:val="008B5043"/>
    <w:rsid w:val="008B53FD"/>
    <w:rsid w:val="008B5CE3"/>
    <w:rsid w:val="008B6F72"/>
    <w:rsid w:val="008B73FA"/>
    <w:rsid w:val="008B7669"/>
    <w:rsid w:val="008B76B0"/>
    <w:rsid w:val="008B777A"/>
    <w:rsid w:val="008C00C8"/>
    <w:rsid w:val="008C0736"/>
    <w:rsid w:val="008C07FD"/>
    <w:rsid w:val="008C1327"/>
    <w:rsid w:val="008C2B47"/>
    <w:rsid w:val="008C2E25"/>
    <w:rsid w:val="008C31E7"/>
    <w:rsid w:val="008C324E"/>
    <w:rsid w:val="008C380E"/>
    <w:rsid w:val="008C38D6"/>
    <w:rsid w:val="008C38EA"/>
    <w:rsid w:val="008C4624"/>
    <w:rsid w:val="008C749F"/>
    <w:rsid w:val="008C74BD"/>
    <w:rsid w:val="008D00E9"/>
    <w:rsid w:val="008D19DE"/>
    <w:rsid w:val="008D24E3"/>
    <w:rsid w:val="008D2679"/>
    <w:rsid w:val="008D45B7"/>
    <w:rsid w:val="008D46FD"/>
    <w:rsid w:val="008D4E79"/>
    <w:rsid w:val="008D51C7"/>
    <w:rsid w:val="008D5DC3"/>
    <w:rsid w:val="008D5F2D"/>
    <w:rsid w:val="008D7242"/>
    <w:rsid w:val="008D7ED6"/>
    <w:rsid w:val="008E147D"/>
    <w:rsid w:val="008E1492"/>
    <w:rsid w:val="008E28A8"/>
    <w:rsid w:val="008E3069"/>
    <w:rsid w:val="008E30EC"/>
    <w:rsid w:val="008E354B"/>
    <w:rsid w:val="008E3E36"/>
    <w:rsid w:val="008E515C"/>
    <w:rsid w:val="008E5375"/>
    <w:rsid w:val="008E5844"/>
    <w:rsid w:val="008E684F"/>
    <w:rsid w:val="008E6C4F"/>
    <w:rsid w:val="008E6CD9"/>
    <w:rsid w:val="008F01AF"/>
    <w:rsid w:val="008F0241"/>
    <w:rsid w:val="008F04D6"/>
    <w:rsid w:val="008F08C7"/>
    <w:rsid w:val="008F0918"/>
    <w:rsid w:val="008F0DD0"/>
    <w:rsid w:val="008F1CE5"/>
    <w:rsid w:val="008F1D28"/>
    <w:rsid w:val="008F21AF"/>
    <w:rsid w:val="008F2E45"/>
    <w:rsid w:val="008F3B06"/>
    <w:rsid w:val="008F3DDC"/>
    <w:rsid w:val="008F427B"/>
    <w:rsid w:val="008F4E97"/>
    <w:rsid w:val="008F5E0D"/>
    <w:rsid w:val="008F605F"/>
    <w:rsid w:val="008F67B1"/>
    <w:rsid w:val="008F69DC"/>
    <w:rsid w:val="008F72CB"/>
    <w:rsid w:val="008F7653"/>
    <w:rsid w:val="008F7853"/>
    <w:rsid w:val="00900761"/>
    <w:rsid w:val="00900814"/>
    <w:rsid w:val="009019B8"/>
    <w:rsid w:val="00901B19"/>
    <w:rsid w:val="00902069"/>
    <w:rsid w:val="009029FB"/>
    <w:rsid w:val="00902C6C"/>
    <w:rsid w:val="0090461C"/>
    <w:rsid w:val="00905894"/>
    <w:rsid w:val="0090628B"/>
    <w:rsid w:val="0090650E"/>
    <w:rsid w:val="009073D7"/>
    <w:rsid w:val="00907C6E"/>
    <w:rsid w:val="00910714"/>
    <w:rsid w:val="0091092B"/>
    <w:rsid w:val="00910D8F"/>
    <w:rsid w:val="00911099"/>
    <w:rsid w:val="0091128F"/>
    <w:rsid w:val="009112A3"/>
    <w:rsid w:val="00911BBE"/>
    <w:rsid w:val="00911C8D"/>
    <w:rsid w:val="00912977"/>
    <w:rsid w:val="00913CBC"/>
    <w:rsid w:val="00913FBC"/>
    <w:rsid w:val="00914486"/>
    <w:rsid w:val="009149E1"/>
    <w:rsid w:val="009157C1"/>
    <w:rsid w:val="00915CDE"/>
    <w:rsid w:val="00916D19"/>
    <w:rsid w:val="00916F98"/>
    <w:rsid w:val="0091717B"/>
    <w:rsid w:val="00917B91"/>
    <w:rsid w:val="0092014E"/>
    <w:rsid w:val="0092022C"/>
    <w:rsid w:val="00920701"/>
    <w:rsid w:val="00920726"/>
    <w:rsid w:val="00920F4E"/>
    <w:rsid w:val="00921021"/>
    <w:rsid w:val="00921A7D"/>
    <w:rsid w:val="00922840"/>
    <w:rsid w:val="00922AC0"/>
    <w:rsid w:val="0092300C"/>
    <w:rsid w:val="009231D7"/>
    <w:rsid w:val="00924D03"/>
    <w:rsid w:val="00925992"/>
    <w:rsid w:val="00925AA5"/>
    <w:rsid w:val="00926F6D"/>
    <w:rsid w:val="00930431"/>
    <w:rsid w:val="00931BA1"/>
    <w:rsid w:val="00932200"/>
    <w:rsid w:val="00932E55"/>
    <w:rsid w:val="00932E79"/>
    <w:rsid w:val="0093316E"/>
    <w:rsid w:val="00933847"/>
    <w:rsid w:val="00933A7A"/>
    <w:rsid w:val="00933B98"/>
    <w:rsid w:val="009340DC"/>
    <w:rsid w:val="00934F35"/>
    <w:rsid w:val="009351D8"/>
    <w:rsid w:val="00935220"/>
    <w:rsid w:val="009353E9"/>
    <w:rsid w:val="009356C3"/>
    <w:rsid w:val="00935712"/>
    <w:rsid w:val="0093616E"/>
    <w:rsid w:val="009363AA"/>
    <w:rsid w:val="009364C0"/>
    <w:rsid w:val="00936BE7"/>
    <w:rsid w:val="00937BBF"/>
    <w:rsid w:val="00940C13"/>
    <w:rsid w:val="0094144F"/>
    <w:rsid w:val="009417D0"/>
    <w:rsid w:val="00941CD8"/>
    <w:rsid w:val="00941D9E"/>
    <w:rsid w:val="00942301"/>
    <w:rsid w:val="00944014"/>
    <w:rsid w:val="009446F0"/>
    <w:rsid w:val="00945369"/>
    <w:rsid w:val="00945436"/>
    <w:rsid w:val="00947038"/>
    <w:rsid w:val="00947062"/>
    <w:rsid w:val="00947100"/>
    <w:rsid w:val="0094797D"/>
    <w:rsid w:val="009506B2"/>
    <w:rsid w:val="009513E3"/>
    <w:rsid w:val="00952201"/>
    <w:rsid w:val="0095331A"/>
    <w:rsid w:val="009534AA"/>
    <w:rsid w:val="00953AEF"/>
    <w:rsid w:val="00953C5E"/>
    <w:rsid w:val="009549DD"/>
    <w:rsid w:val="00955093"/>
    <w:rsid w:val="00955B38"/>
    <w:rsid w:val="00956A52"/>
    <w:rsid w:val="009578D6"/>
    <w:rsid w:val="00957AFC"/>
    <w:rsid w:val="009600AE"/>
    <w:rsid w:val="009601CA"/>
    <w:rsid w:val="00960E54"/>
    <w:rsid w:val="00960EA5"/>
    <w:rsid w:val="009612A0"/>
    <w:rsid w:val="009612EE"/>
    <w:rsid w:val="0096186B"/>
    <w:rsid w:val="00962382"/>
    <w:rsid w:val="00962F8C"/>
    <w:rsid w:val="0096387A"/>
    <w:rsid w:val="0096492C"/>
    <w:rsid w:val="00964A01"/>
    <w:rsid w:val="00964A6F"/>
    <w:rsid w:val="00965225"/>
    <w:rsid w:val="009656E0"/>
    <w:rsid w:val="00965B13"/>
    <w:rsid w:val="00966DC4"/>
    <w:rsid w:val="00966DF0"/>
    <w:rsid w:val="00966FD9"/>
    <w:rsid w:val="0096727E"/>
    <w:rsid w:val="0096781D"/>
    <w:rsid w:val="009702AA"/>
    <w:rsid w:val="0097189C"/>
    <w:rsid w:val="009724BC"/>
    <w:rsid w:val="00972AE7"/>
    <w:rsid w:val="00972FD3"/>
    <w:rsid w:val="0097344A"/>
    <w:rsid w:val="0097365A"/>
    <w:rsid w:val="00973FB8"/>
    <w:rsid w:val="00974A06"/>
    <w:rsid w:val="00975A63"/>
    <w:rsid w:val="00975DA4"/>
    <w:rsid w:val="00976499"/>
    <w:rsid w:val="00977E2A"/>
    <w:rsid w:val="009803D4"/>
    <w:rsid w:val="00980468"/>
    <w:rsid w:val="00980725"/>
    <w:rsid w:val="009809FC"/>
    <w:rsid w:val="0098315D"/>
    <w:rsid w:val="00983825"/>
    <w:rsid w:val="00984344"/>
    <w:rsid w:val="0098479E"/>
    <w:rsid w:val="00984DFF"/>
    <w:rsid w:val="009854B6"/>
    <w:rsid w:val="00985A1F"/>
    <w:rsid w:val="00986441"/>
    <w:rsid w:val="00986B83"/>
    <w:rsid w:val="00990EE4"/>
    <w:rsid w:val="0099160E"/>
    <w:rsid w:val="00991697"/>
    <w:rsid w:val="0099263B"/>
    <w:rsid w:val="0099280C"/>
    <w:rsid w:val="00992C71"/>
    <w:rsid w:val="00993434"/>
    <w:rsid w:val="0099384C"/>
    <w:rsid w:val="00993C21"/>
    <w:rsid w:val="00993D00"/>
    <w:rsid w:val="0099404A"/>
    <w:rsid w:val="00994762"/>
    <w:rsid w:val="00994A88"/>
    <w:rsid w:val="00995576"/>
    <w:rsid w:val="009970D1"/>
    <w:rsid w:val="00997619"/>
    <w:rsid w:val="00997B46"/>
    <w:rsid w:val="00997CF0"/>
    <w:rsid w:val="009A00AC"/>
    <w:rsid w:val="009A02A5"/>
    <w:rsid w:val="009A0938"/>
    <w:rsid w:val="009A1A43"/>
    <w:rsid w:val="009A2A67"/>
    <w:rsid w:val="009A324D"/>
    <w:rsid w:val="009A387C"/>
    <w:rsid w:val="009A4BB2"/>
    <w:rsid w:val="009A650C"/>
    <w:rsid w:val="009A6C9E"/>
    <w:rsid w:val="009A75DB"/>
    <w:rsid w:val="009A7DD1"/>
    <w:rsid w:val="009A7F82"/>
    <w:rsid w:val="009B0A1E"/>
    <w:rsid w:val="009B3B28"/>
    <w:rsid w:val="009B5880"/>
    <w:rsid w:val="009B61F3"/>
    <w:rsid w:val="009B670D"/>
    <w:rsid w:val="009B77DA"/>
    <w:rsid w:val="009C06F4"/>
    <w:rsid w:val="009C0DDF"/>
    <w:rsid w:val="009C1213"/>
    <w:rsid w:val="009C13E2"/>
    <w:rsid w:val="009C1ADA"/>
    <w:rsid w:val="009C1D39"/>
    <w:rsid w:val="009C20C6"/>
    <w:rsid w:val="009C29D9"/>
    <w:rsid w:val="009C350A"/>
    <w:rsid w:val="009C4C44"/>
    <w:rsid w:val="009C4CA3"/>
    <w:rsid w:val="009C6990"/>
    <w:rsid w:val="009C6A3F"/>
    <w:rsid w:val="009C6B90"/>
    <w:rsid w:val="009C6EF1"/>
    <w:rsid w:val="009C7485"/>
    <w:rsid w:val="009C7900"/>
    <w:rsid w:val="009D0015"/>
    <w:rsid w:val="009D063D"/>
    <w:rsid w:val="009D24D8"/>
    <w:rsid w:val="009D3693"/>
    <w:rsid w:val="009D3A49"/>
    <w:rsid w:val="009D3FB3"/>
    <w:rsid w:val="009D4195"/>
    <w:rsid w:val="009D5DDA"/>
    <w:rsid w:val="009D5ED9"/>
    <w:rsid w:val="009D680F"/>
    <w:rsid w:val="009D6A67"/>
    <w:rsid w:val="009D6CBB"/>
    <w:rsid w:val="009D7586"/>
    <w:rsid w:val="009E0BA1"/>
    <w:rsid w:val="009E1782"/>
    <w:rsid w:val="009E1812"/>
    <w:rsid w:val="009E1D57"/>
    <w:rsid w:val="009E3BF8"/>
    <w:rsid w:val="009E3C40"/>
    <w:rsid w:val="009E414E"/>
    <w:rsid w:val="009E4405"/>
    <w:rsid w:val="009E4675"/>
    <w:rsid w:val="009E4A4C"/>
    <w:rsid w:val="009E4CA4"/>
    <w:rsid w:val="009E657A"/>
    <w:rsid w:val="009E68CD"/>
    <w:rsid w:val="009E6F82"/>
    <w:rsid w:val="009E6FB9"/>
    <w:rsid w:val="009E74FC"/>
    <w:rsid w:val="009E7D4E"/>
    <w:rsid w:val="009F04EF"/>
    <w:rsid w:val="009F0EF9"/>
    <w:rsid w:val="009F3CDD"/>
    <w:rsid w:val="009F52C4"/>
    <w:rsid w:val="009F548F"/>
    <w:rsid w:val="009F6724"/>
    <w:rsid w:val="00A00230"/>
    <w:rsid w:val="00A004A1"/>
    <w:rsid w:val="00A00B82"/>
    <w:rsid w:val="00A00D3F"/>
    <w:rsid w:val="00A016E2"/>
    <w:rsid w:val="00A0198D"/>
    <w:rsid w:val="00A02683"/>
    <w:rsid w:val="00A03A7B"/>
    <w:rsid w:val="00A0450E"/>
    <w:rsid w:val="00A0473B"/>
    <w:rsid w:val="00A04A8C"/>
    <w:rsid w:val="00A051AC"/>
    <w:rsid w:val="00A05352"/>
    <w:rsid w:val="00A05655"/>
    <w:rsid w:val="00A05BC5"/>
    <w:rsid w:val="00A06E73"/>
    <w:rsid w:val="00A072D6"/>
    <w:rsid w:val="00A0755B"/>
    <w:rsid w:val="00A0787F"/>
    <w:rsid w:val="00A117B4"/>
    <w:rsid w:val="00A12926"/>
    <w:rsid w:val="00A133AC"/>
    <w:rsid w:val="00A138D5"/>
    <w:rsid w:val="00A14371"/>
    <w:rsid w:val="00A144F1"/>
    <w:rsid w:val="00A146CC"/>
    <w:rsid w:val="00A14967"/>
    <w:rsid w:val="00A1626F"/>
    <w:rsid w:val="00A17675"/>
    <w:rsid w:val="00A20589"/>
    <w:rsid w:val="00A206FF"/>
    <w:rsid w:val="00A20D90"/>
    <w:rsid w:val="00A21C3A"/>
    <w:rsid w:val="00A2266A"/>
    <w:rsid w:val="00A227B5"/>
    <w:rsid w:val="00A22B3A"/>
    <w:rsid w:val="00A22C33"/>
    <w:rsid w:val="00A22D54"/>
    <w:rsid w:val="00A247A9"/>
    <w:rsid w:val="00A25468"/>
    <w:rsid w:val="00A2564F"/>
    <w:rsid w:val="00A264EF"/>
    <w:rsid w:val="00A26B73"/>
    <w:rsid w:val="00A2717F"/>
    <w:rsid w:val="00A27501"/>
    <w:rsid w:val="00A3068D"/>
    <w:rsid w:val="00A310D4"/>
    <w:rsid w:val="00A31135"/>
    <w:rsid w:val="00A312CB"/>
    <w:rsid w:val="00A32789"/>
    <w:rsid w:val="00A332FB"/>
    <w:rsid w:val="00A33795"/>
    <w:rsid w:val="00A33CF1"/>
    <w:rsid w:val="00A349D1"/>
    <w:rsid w:val="00A3585A"/>
    <w:rsid w:val="00A36460"/>
    <w:rsid w:val="00A36B9D"/>
    <w:rsid w:val="00A36FC7"/>
    <w:rsid w:val="00A37657"/>
    <w:rsid w:val="00A40062"/>
    <w:rsid w:val="00A40F97"/>
    <w:rsid w:val="00A415D0"/>
    <w:rsid w:val="00A422F2"/>
    <w:rsid w:val="00A422F7"/>
    <w:rsid w:val="00A42A0E"/>
    <w:rsid w:val="00A44608"/>
    <w:rsid w:val="00A44981"/>
    <w:rsid w:val="00A449A6"/>
    <w:rsid w:val="00A449D2"/>
    <w:rsid w:val="00A46F34"/>
    <w:rsid w:val="00A47417"/>
    <w:rsid w:val="00A478F0"/>
    <w:rsid w:val="00A51C4C"/>
    <w:rsid w:val="00A523D6"/>
    <w:rsid w:val="00A5285A"/>
    <w:rsid w:val="00A53B2B"/>
    <w:rsid w:val="00A54570"/>
    <w:rsid w:val="00A54700"/>
    <w:rsid w:val="00A54DFE"/>
    <w:rsid w:val="00A54FBD"/>
    <w:rsid w:val="00A55981"/>
    <w:rsid w:val="00A55B74"/>
    <w:rsid w:val="00A56612"/>
    <w:rsid w:val="00A56DA9"/>
    <w:rsid w:val="00A60F42"/>
    <w:rsid w:val="00A61D9B"/>
    <w:rsid w:val="00A62DE6"/>
    <w:rsid w:val="00A631D2"/>
    <w:rsid w:val="00A63E45"/>
    <w:rsid w:val="00A64640"/>
    <w:rsid w:val="00A65C76"/>
    <w:rsid w:val="00A66A70"/>
    <w:rsid w:val="00A67AF8"/>
    <w:rsid w:val="00A7042D"/>
    <w:rsid w:val="00A70E3E"/>
    <w:rsid w:val="00A715D6"/>
    <w:rsid w:val="00A717F5"/>
    <w:rsid w:val="00A72394"/>
    <w:rsid w:val="00A73708"/>
    <w:rsid w:val="00A73F8A"/>
    <w:rsid w:val="00A73FEC"/>
    <w:rsid w:val="00A74346"/>
    <w:rsid w:val="00A74E5D"/>
    <w:rsid w:val="00A7576A"/>
    <w:rsid w:val="00A7649E"/>
    <w:rsid w:val="00A77830"/>
    <w:rsid w:val="00A808FC"/>
    <w:rsid w:val="00A817EC"/>
    <w:rsid w:val="00A818D0"/>
    <w:rsid w:val="00A82796"/>
    <w:rsid w:val="00A828F5"/>
    <w:rsid w:val="00A832EA"/>
    <w:rsid w:val="00A836F9"/>
    <w:rsid w:val="00A849F6"/>
    <w:rsid w:val="00A85F63"/>
    <w:rsid w:val="00A86345"/>
    <w:rsid w:val="00A86792"/>
    <w:rsid w:val="00A86E57"/>
    <w:rsid w:val="00A87426"/>
    <w:rsid w:val="00A9231D"/>
    <w:rsid w:val="00A93544"/>
    <w:rsid w:val="00A9363B"/>
    <w:rsid w:val="00A936B5"/>
    <w:rsid w:val="00A93F22"/>
    <w:rsid w:val="00A94CF2"/>
    <w:rsid w:val="00A9547E"/>
    <w:rsid w:val="00A95541"/>
    <w:rsid w:val="00A962BB"/>
    <w:rsid w:val="00A9691B"/>
    <w:rsid w:val="00A971AC"/>
    <w:rsid w:val="00A9739C"/>
    <w:rsid w:val="00A97D45"/>
    <w:rsid w:val="00AA0FEE"/>
    <w:rsid w:val="00AA309F"/>
    <w:rsid w:val="00AA3512"/>
    <w:rsid w:val="00AA3EE3"/>
    <w:rsid w:val="00AA4704"/>
    <w:rsid w:val="00AA493A"/>
    <w:rsid w:val="00AA4ADD"/>
    <w:rsid w:val="00AA4FF5"/>
    <w:rsid w:val="00AA5685"/>
    <w:rsid w:val="00AA5C8E"/>
    <w:rsid w:val="00AA6C0C"/>
    <w:rsid w:val="00AA6DA0"/>
    <w:rsid w:val="00AA6DAA"/>
    <w:rsid w:val="00AA6EB7"/>
    <w:rsid w:val="00AA75B8"/>
    <w:rsid w:val="00AA76D7"/>
    <w:rsid w:val="00AA76FE"/>
    <w:rsid w:val="00AA7C4B"/>
    <w:rsid w:val="00AB0650"/>
    <w:rsid w:val="00AB0807"/>
    <w:rsid w:val="00AB0BE7"/>
    <w:rsid w:val="00AB1E3E"/>
    <w:rsid w:val="00AB2DF2"/>
    <w:rsid w:val="00AB3F61"/>
    <w:rsid w:val="00AB3F63"/>
    <w:rsid w:val="00AB3F9D"/>
    <w:rsid w:val="00AB4500"/>
    <w:rsid w:val="00AB5C63"/>
    <w:rsid w:val="00AB7143"/>
    <w:rsid w:val="00AB7BF7"/>
    <w:rsid w:val="00AB7CFD"/>
    <w:rsid w:val="00AC03C1"/>
    <w:rsid w:val="00AC050A"/>
    <w:rsid w:val="00AC17E1"/>
    <w:rsid w:val="00AC1C7C"/>
    <w:rsid w:val="00AC28B1"/>
    <w:rsid w:val="00AC446E"/>
    <w:rsid w:val="00AC4E0F"/>
    <w:rsid w:val="00AC6922"/>
    <w:rsid w:val="00AC6C91"/>
    <w:rsid w:val="00AC6D63"/>
    <w:rsid w:val="00AC7644"/>
    <w:rsid w:val="00AC77C8"/>
    <w:rsid w:val="00AD0825"/>
    <w:rsid w:val="00AD0E8D"/>
    <w:rsid w:val="00AD2063"/>
    <w:rsid w:val="00AD2865"/>
    <w:rsid w:val="00AD2CA0"/>
    <w:rsid w:val="00AD4B28"/>
    <w:rsid w:val="00AD5061"/>
    <w:rsid w:val="00AD5332"/>
    <w:rsid w:val="00AD587E"/>
    <w:rsid w:val="00AD594E"/>
    <w:rsid w:val="00AD6054"/>
    <w:rsid w:val="00AD6067"/>
    <w:rsid w:val="00AD7327"/>
    <w:rsid w:val="00AD7482"/>
    <w:rsid w:val="00AD7C3D"/>
    <w:rsid w:val="00AE0089"/>
    <w:rsid w:val="00AE0CED"/>
    <w:rsid w:val="00AE1B2E"/>
    <w:rsid w:val="00AE1F84"/>
    <w:rsid w:val="00AE2E78"/>
    <w:rsid w:val="00AE3148"/>
    <w:rsid w:val="00AE4004"/>
    <w:rsid w:val="00AE5A2B"/>
    <w:rsid w:val="00AE5C5A"/>
    <w:rsid w:val="00AE636E"/>
    <w:rsid w:val="00AE66BF"/>
    <w:rsid w:val="00AE6CEC"/>
    <w:rsid w:val="00AE7298"/>
    <w:rsid w:val="00AE72CB"/>
    <w:rsid w:val="00AE74FD"/>
    <w:rsid w:val="00AE7601"/>
    <w:rsid w:val="00AE7BD1"/>
    <w:rsid w:val="00AF1615"/>
    <w:rsid w:val="00AF232E"/>
    <w:rsid w:val="00AF27F2"/>
    <w:rsid w:val="00AF373A"/>
    <w:rsid w:val="00AF5082"/>
    <w:rsid w:val="00AF5F05"/>
    <w:rsid w:val="00AF6A09"/>
    <w:rsid w:val="00AF6CD3"/>
    <w:rsid w:val="00AF6DBB"/>
    <w:rsid w:val="00AF7EE9"/>
    <w:rsid w:val="00AF7F4F"/>
    <w:rsid w:val="00B0062D"/>
    <w:rsid w:val="00B00FC0"/>
    <w:rsid w:val="00B00FFB"/>
    <w:rsid w:val="00B0131D"/>
    <w:rsid w:val="00B01A34"/>
    <w:rsid w:val="00B01E4C"/>
    <w:rsid w:val="00B04467"/>
    <w:rsid w:val="00B0453F"/>
    <w:rsid w:val="00B0484D"/>
    <w:rsid w:val="00B04FB3"/>
    <w:rsid w:val="00B05385"/>
    <w:rsid w:val="00B05550"/>
    <w:rsid w:val="00B05CDC"/>
    <w:rsid w:val="00B05EA9"/>
    <w:rsid w:val="00B06443"/>
    <w:rsid w:val="00B067A2"/>
    <w:rsid w:val="00B10B47"/>
    <w:rsid w:val="00B11553"/>
    <w:rsid w:val="00B1161F"/>
    <w:rsid w:val="00B130E3"/>
    <w:rsid w:val="00B1400C"/>
    <w:rsid w:val="00B1471B"/>
    <w:rsid w:val="00B154E7"/>
    <w:rsid w:val="00B15ECD"/>
    <w:rsid w:val="00B15F78"/>
    <w:rsid w:val="00B16206"/>
    <w:rsid w:val="00B16FD9"/>
    <w:rsid w:val="00B206DC"/>
    <w:rsid w:val="00B20EB4"/>
    <w:rsid w:val="00B21855"/>
    <w:rsid w:val="00B223D6"/>
    <w:rsid w:val="00B22439"/>
    <w:rsid w:val="00B25CC5"/>
    <w:rsid w:val="00B25E08"/>
    <w:rsid w:val="00B26FE2"/>
    <w:rsid w:val="00B2717C"/>
    <w:rsid w:val="00B27981"/>
    <w:rsid w:val="00B30814"/>
    <w:rsid w:val="00B309D5"/>
    <w:rsid w:val="00B3306F"/>
    <w:rsid w:val="00B33943"/>
    <w:rsid w:val="00B33AF7"/>
    <w:rsid w:val="00B33ED0"/>
    <w:rsid w:val="00B342B8"/>
    <w:rsid w:val="00B356DF"/>
    <w:rsid w:val="00B35E04"/>
    <w:rsid w:val="00B35F87"/>
    <w:rsid w:val="00B363B9"/>
    <w:rsid w:val="00B3729A"/>
    <w:rsid w:val="00B4012B"/>
    <w:rsid w:val="00B40988"/>
    <w:rsid w:val="00B40BFF"/>
    <w:rsid w:val="00B40DFB"/>
    <w:rsid w:val="00B41A99"/>
    <w:rsid w:val="00B429B6"/>
    <w:rsid w:val="00B43250"/>
    <w:rsid w:val="00B43523"/>
    <w:rsid w:val="00B4369D"/>
    <w:rsid w:val="00B43C53"/>
    <w:rsid w:val="00B44607"/>
    <w:rsid w:val="00B44B14"/>
    <w:rsid w:val="00B45B73"/>
    <w:rsid w:val="00B45DFA"/>
    <w:rsid w:val="00B45E67"/>
    <w:rsid w:val="00B466DA"/>
    <w:rsid w:val="00B46E87"/>
    <w:rsid w:val="00B475DE"/>
    <w:rsid w:val="00B47903"/>
    <w:rsid w:val="00B501E4"/>
    <w:rsid w:val="00B50BCD"/>
    <w:rsid w:val="00B50DE3"/>
    <w:rsid w:val="00B513FD"/>
    <w:rsid w:val="00B51667"/>
    <w:rsid w:val="00B51876"/>
    <w:rsid w:val="00B51DFA"/>
    <w:rsid w:val="00B51F9B"/>
    <w:rsid w:val="00B52A88"/>
    <w:rsid w:val="00B5338F"/>
    <w:rsid w:val="00B552E4"/>
    <w:rsid w:val="00B563F7"/>
    <w:rsid w:val="00B56A4F"/>
    <w:rsid w:val="00B56AC4"/>
    <w:rsid w:val="00B56CFB"/>
    <w:rsid w:val="00B60280"/>
    <w:rsid w:val="00B60FD1"/>
    <w:rsid w:val="00B617D3"/>
    <w:rsid w:val="00B61ADC"/>
    <w:rsid w:val="00B61B4B"/>
    <w:rsid w:val="00B62067"/>
    <w:rsid w:val="00B62F56"/>
    <w:rsid w:val="00B6351C"/>
    <w:rsid w:val="00B65A7A"/>
    <w:rsid w:val="00B65EC1"/>
    <w:rsid w:val="00B66046"/>
    <w:rsid w:val="00B66555"/>
    <w:rsid w:val="00B6673F"/>
    <w:rsid w:val="00B66C7A"/>
    <w:rsid w:val="00B67044"/>
    <w:rsid w:val="00B6743A"/>
    <w:rsid w:val="00B67815"/>
    <w:rsid w:val="00B67AF3"/>
    <w:rsid w:val="00B70535"/>
    <w:rsid w:val="00B7062A"/>
    <w:rsid w:val="00B707E4"/>
    <w:rsid w:val="00B70CC7"/>
    <w:rsid w:val="00B70F07"/>
    <w:rsid w:val="00B70FB4"/>
    <w:rsid w:val="00B710F3"/>
    <w:rsid w:val="00B715E4"/>
    <w:rsid w:val="00B71F14"/>
    <w:rsid w:val="00B71F72"/>
    <w:rsid w:val="00B72016"/>
    <w:rsid w:val="00B72753"/>
    <w:rsid w:val="00B742CE"/>
    <w:rsid w:val="00B764D0"/>
    <w:rsid w:val="00B76AB7"/>
    <w:rsid w:val="00B77E74"/>
    <w:rsid w:val="00B8051D"/>
    <w:rsid w:val="00B83E95"/>
    <w:rsid w:val="00B840CC"/>
    <w:rsid w:val="00B86004"/>
    <w:rsid w:val="00B902F2"/>
    <w:rsid w:val="00B9109C"/>
    <w:rsid w:val="00B91245"/>
    <w:rsid w:val="00B91452"/>
    <w:rsid w:val="00B9162A"/>
    <w:rsid w:val="00B92807"/>
    <w:rsid w:val="00B92DF5"/>
    <w:rsid w:val="00B93B4B"/>
    <w:rsid w:val="00B9469D"/>
    <w:rsid w:val="00B94738"/>
    <w:rsid w:val="00B94798"/>
    <w:rsid w:val="00B948FF"/>
    <w:rsid w:val="00B9506A"/>
    <w:rsid w:val="00B95C2C"/>
    <w:rsid w:val="00B95E4E"/>
    <w:rsid w:val="00B9693A"/>
    <w:rsid w:val="00B969D3"/>
    <w:rsid w:val="00B96A9F"/>
    <w:rsid w:val="00B9730D"/>
    <w:rsid w:val="00B975BF"/>
    <w:rsid w:val="00B975C1"/>
    <w:rsid w:val="00BA03B4"/>
    <w:rsid w:val="00BA04F9"/>
    <w:rsid w:val="00BA1137"/>
    <w:rsid w:val="00BA1AEA"/>
    <w:rsid w:val="00BA1BFA"/>
    <w:rsid w:val="00BA2B5D"/>
    <w:rsid w:val="00BA3C44"/>
    <w:rsid w:val="00BA4289"/>
    <w:rsid w:val="00BA46F9"/>
    <w:rsid w:val="00BA4EB5"/>
    <w:rsid w:val="00BA4F8D"/>
    <w:rsid w:val="00BA6636"/>
    <w:rsid w:val="00BA6C04"/>
    <w:rsid w:val="00BB030B"/>
    <w:rsid w:val="00BB0A59"/>
    <w:rsid w:val="00BB0B97"/>
    <w:rsid w:val="00BB0E0D"/>
    <w:rsid w:val="00BB17A6"/>
    <w:rsid w:val="00BB17FC"/>
    <w:rsid w:val="00BB1A85"/>
    <w:rsid w:val="00BB2669"/>
    <w:rsid w:val="00BB2ACE"/>
    <w:rsid w:val="00BB2BF6"/>
    <w:rsid w:val="00BB350F"/>
    <w:rsid w:val="00BB371E"/>
    <w:rsid w:val="00BB3D0F"/>
    <w:rsid w:val="00BB4121"/>
    <w:rsid w:val="00BB4EF3"/>
    <w:rsid w:val="00BB56BB"/>
    <w:rsid w:val="00BB583F"/>
    <w:rsid w:val="00BB5BC5"/>
    <w:rsid w:val="00BB64DE"/>
    <w:rsid w:val="00BB68CF"/>
    <w:rsid w:val="00BB6BB1"/>
    <w:rsid w:val="00BB6F33"/>
    <w:rsid w:val="00BB79A2"/>
    <w:rsid w:val="00BC0DCC"/>
    <w:rsid w:val="00BC11B3"/>
    <w:rsid w:val="00BC199B"/>
    <w:rsid w:val="00BC2F57"/>
    <w:rsid w:val="00BC332B"/>
    <w:rsid w:val="00BC4502"/>
    <w:rsid w:val="00BC4C91"/>
    <w:rsid w:val="00BC4CAB"/>
    <w:rsid w:val="00BC4E47"/>
    <w:rsid w:val="00BC4F1E"/>
    <w:rsid w:val="00BC5B96"/>
    <w:rsid w:val="00BC5C75"/>
    <w:rsid w:val="00BC6768"/>
    <w:rsid w:val="00BC6968"/>
    <w:rsid w:val="00BC6E98"/>
    <w:rsid w:val="00BC760E"/>
    <w:rsid w:val="00BC7B2A"/>
    <w:rsid w:val="00BD0FE7"/>
    <w:rsid w:val="00BD1C1F"/>
    <w:rsid w:val="00BD2D56"/>
    <w:rsid w:val="00BD4282"/>
    <w:rsid w:val="00BD47E7"/>
    <w:rsid w:val="00BD4E42"/>
    <w:rsid w:val="00BD512E"/>
    <w:rsid w:val="00BD5563"/>
    <w:rsid w:val="00BD55BA"/>
    <w:rsid w:val="00BD5782"/>
    <w:rsid w:val="00BD5E42"/>
    <w:rsid w:val="00BD6A12"/>
    <w:rsid w:val="00BD779F"/>
    <w:rsid w:val="00BE0403"/>
    <w:rsid w:val="00BE1636"/>
    <w:rsid w:val="00BE197F"/>
    <w:rsid w:val="00BE1D3C"/>
    <w:rsid w:val="00BE1D41"/>
    <w:rsid w:val="00BE20C9"/>
    <w:rsid w:val="00BE2238"/>
    <w:rsid w:val="00BE305D"/>
    <w:rsid w:val="00BE30BC"/>
    <w:rsid w:val="00BE3870"/>
    <w:rsid w:val="00BE3935"/>
    <w:rsid w:val="00BE4017"/>
    <w:rsid w:val="00BE405E"/>
    <w:rsid w:val="00BE4A26"/>
    <w:rsid w:val="00BE6151"/>
    <w:rsid w:val="00BE6B06"/>
    <w:rsid w:val="00BE6D61"/>
    <w:rsid w:val="00BF04D9"/>
    <w:rsid w:val="00BF13ED"/>
    <w:rsid w:val="00BF2130"/>
    <w:rsid w:val="00BF22AB"/>
    <w:rsid w:val="00BF23F1"/>
    <w:rsid w:val="00BF3EC3"/>
    <w:rsid w:val="00BF4370"/>
    <w:rsid w:val="00BF496B"/>
    <w:rsid w:val="00BF4FD8"/>
    <w:rsid w:val="00BF57F6"/>
    <w:rsid w:val="00BF5AF8"/>
    <w:rsid w:val="00BF62EF"/>
    <w:rsid w:val="00BF6D84"/>
    <w:rsid w:val="00BF7211"/>
    <w:rsid w:val="00C00CF4"/>
    <w:rsid w:val="00C011A6"/>
    <w:rsid w:val="00C0217E"/>
    <w:rsid w:val="00C026AD"/>
    <w:rsid w:val="00C0286F"/>
    <w:rsid w:val="00C03963"/>
    <w:rsid w:val="00C03AD1"/>
    <w:rsid w:val="00C03B09"/>
    <w:rsid w:val="00C03FE3"/>
    <w:rsid w:val="00C04342"/>
    <w:rsid w:val="00C06231"/>
    <w:rsid w:val="00C06265"/>
    <w:rsid w:val="00C06511"/>
    <w:rsid w:val="00C0655F"/>
    <w:rsid w:val="00C07492"/>
    <w:rsid w:val="00C07709"/>
    <w:rsid w:val="00C07B5C"/>
    <w:rsid w:val="00C07B70"/>
    <w:rsid w:val="00C07B9B"/>
    <w:rsid w:val="00C07CB7"/>
    <w:rsid w:val="00C101D7"/>
    <w:rsid w:val="00C10285"/>
    <w:rsid w:val="00C1123C"/>
    <w:rsid w:val="00C11466"/>
    <w:rsid w:val="00C12A29"/>
    <w:rsid w:val="00C1322F"/>
    <w:rsid w:val="00C13435"/>
    <w:rsid w:val="00C13B70"/>
    <w:rsid w:val="00C13DA6"/>
    <w:rsid w:val="00C14250"/>
    <w:rsid w:val="00C142B3"/>
    <w:rsid w:val="00C14324"/>
    <w:rsid w:val="00C14802"/>
    <w:rsid w:val="00C14C56"/>
    <w:rsid w:val="00C1523A"/>
    <w:rsid w:val="00C15AF5"/>
    <w:rsid w:val="00C162AF"/>
    <w:rsid w:val="00C170B7"/>
    <w:rsid w:val="00C17475"/>
    <w:rsid w:val="00C17B1D"/>
    <w:rsid w:val="00C20C7A"/>
    <w:rsid w:val="00C20E0D"/>
    <w:rsid w:val="00C212B1"/>
    <w:rsid w:val="00C219EA"/>
    <w:rsid w:val="00C21A68"/>
    <w:rsid w:val="00C21A90"/>
    <w:rsid w:val="00C23E69"/>
    <w:rsid w:val="00C23FAB"/>
    <w:rsid w:val="00C2562E"/>
    <w:rsid w:val="00C25CBC"/>
    <w:rsid w:val="00C25E35"/>
    <w:rsid w:val="00C25F45"/>
    <w:rsid w:val="00C26039"/>
    <w:rsid w:val="00C26129"/>
    <w:rsid w:val="00C272A6"/>
    <w:rsid w:val="00C27959"/>
    <w:rsid w:val="00C305E7"/>
    <w:rsid w:val="00C30E66"/>
    <w:rsid w:val="00C321E2"/>
    <w:rsid w:val="00C33024"/>
    <w:rsid w:val="00C33037"/>
    <w:rsid w:val="00C33EE9"/>
    <w:rsid w:val="00C346C8"/>
    <w:rsid w:val="00C34A71"/>
    <w:rsid w:val="00C34B95"/>
    <w:rsid w:val="00C3512E"/>
    <w:rsid w:val="00C353F2"/>
    <w:rsid w:val="00C357C4"/>
    <w:rsid w:val="00C35A1F"/>
    <w:rsid w:val="00C365A1"/>
    <w:rsid w:val="00C3677A"/>
    <w:rsid w:val="00C373A3"/>
    <w:rsid w:val="00C37479"/>
    <w:rsid w:val="00C41257"/>
    <w:rsid w:val="00C41400"/>
    <w:rsid w:val="00C41D46"/>
    <w:rsid w:val="00C422DA"/>
    <w:rsid w:val="00C43595"/>
    <w:rsid w:val="00C442DA"/>
    <w:rsid w:val="00C45886"/>
    <w:rsid w:val="00C466A8"/>
    <w:rsid w:val="00C4698C"/>
    <w:rsid w:val="00C476CC"/>
    <w:rsid w:val="00C51280"/>
    <w:rsid w:val="00C52CBD"/>
    <w:rsid w:val="00C549F0"/>
    <w:rsid w:val="00C56229"/>
    <w:rsid w:val="00C60EFF"/>
    <w:rsid w:val="00C6156A"/>
    <w:rsid w:val="00C6174A"/>
    <w:rsid w:val="00C6233A"/>
    <w:rsid w:val="00C6264C"/>
    <w:rsid w:val="00C62929"/>
    <w:rsid w:val="00C6492A"/>
    <w:rsid w:val="00C64F63"/>
    <w:rsid w:val="00C650AB"/>
    <w:rsid w:val="00C66A2C"/>
    <w:rsid w:val="00C66D46"/>
    <w:rsid w:val="00C70035"/>
    <w:rsid w:val="00C70588"/>
    <w:rsid w:val="00C70721"/>
    <w:rsid w:val="00C70C33"/>
    <w:rsid w:val="00C70CAE"/>
    <w:rsid w:val="00C70F50"/>
    <w:rsid w:val="00C71433"/>
    <w:rsid w:val="00C7163A"/>
    <w:rsid w:val="00C72AE8"/>
    <w:rsid w:val="00C73642"/>
    <w:rsid w:val="00C73F76"/>
    <w:rsid w:val="00C7611A"/>
    <w:rsid w:val="00C76420"/>
    <w:rsid w:val="00C76548"/>
    <w:rsid w:val="00C77607"/>
    <w:rsid w:val="00C77E79"/>
    <w:rsid w:val="00C802E3"/>
    <w:rsid w:val="00C80D80"/>
    <w:rsid w:val="00C815EE"/>
    <w:rsid w:val="00C81B1A"/>
    <w:rsid w:val="00C82290"/>
    <w:rsid w:val="00C822A0"/>
    <w:rsid w:val="00C83D4B"/>
    <w:rsid w:val="00C84455"/>
    <w:rsid w:val="00C84799"/>
    <w:rsid w:val="00C84C17"/>
    <w:rsid w:val="00C85191"/>
    <w:rsid w:val="00C85B8B"/>
    <w:rsid w:val="00C868F4"/>
    <w:rsid w:val="00C8694A"/>
    <w:rsid w:val="00C872DD"/>
    <w:rsid w:val="00C9228C"/>
    <w:rsid w:val="00C92996"/>
    <w:rsid w:val="00C92E7B"/>
    <w:rsid w:val="00C93014"/>
    <w:rsid w:val="00C9408A"/>
    <w:rsid w:val="00C94147"/>
    <w:rsid w:val="00C94FA8"/>
    <w:rsid w:val="00C95F63"/>
    <w:rsid w:val="00C9615D"/>
    <w:rsid w:val="00C96239"/>
    <w:rsid w:val="00C96989"/>
    <w:rsid w:val="00C97146"/>
    <w:rsid w:val="00C97D35"/>
    <w:rsid w:val="00CA079C"/>
    <w:rsid w:val="00CA119F"/>
    <w:rsid w:val="00CA1813"/>
    <w:rsid w:val="00CA29F9"/>
    <w:rsid w:val="00CA38B4"/>
    <w:rsid w:val="00CA3A52"/>
    <w:rsid w:val="00CA3E1D"/>
    <w:rsid w:val="00CA3E3A"/>
    <w:rsid w:val="00CA41D2"/>
    <w:rsid w:val="00CA5311"/>
    <w:rsid w:val="00CA63CA"/>
    <w:rsid w:val="00CA7092"/>
    <w:rsid w:val="00CA7812"/>
    <w:rsid w:val="00CB02B2"/>
    <w:rsid w:val="00CB038B"/>
    <w:rsid w:val="00CB0D17"/>
    <w:rsid w:val="00CB1020"/>
    <w:rsid w:val="00CB185A"/>
    <w:rsid w:val="00CB2231"/>
    <w:rsid w:val="00CB2F39"/>
    <w:rsid w:val="00CB380A"/>
    <w:rsid w:val="00CB3BA2"/>
    <w:rsid w:val="00CB4274"/>
    <w:rsid w:val="00CB4B09"/>
    <w:rsid w:val="00CB593F"/>
    <w:rsid w:val="00CB5981"/>
    <w:rsid w:val="00CB66F9"/>
    <w:rsid w:val="00CB69FC"/>
    <w:rsid w:val="00CB777D"/>
    <w:rsid w:val="00CC044D"/>
    <w:rsid w:val="00CC084E"/>
    <w:rsid w:val="00CC1536"/>
    <w:rsid w:val="00CC17FE"/>
    <w:rsid w:val="00CC301B"/>
    <w:rsid w:val="00CC3398"/>
    <w:rsid w:val="00CC3A50"/>
    <w:rsid w:val="00CC4855"/>
    <w:rsid w:val="00CC4D86"/>
    <w:rsid w:val="00CC5683"/>
    <w:rsid w:val="00CC56A2"/>
    <w:rsid w:val="00CC5C51"/>
    <w:rsid w:val="00CC60B2"/>
    <w:rsid w:val="00CC65DF"/>
    <w:rsid w:val="00CC6719"/>
    <w:rsid w:val="00CC6777"/>
    <w:rsid w:val="00CC684F"/>
    <w:rsid w:val="00CC75FE"/>
    <w:rsid w:val="00CC7FE7"/>
    <w:rsid w:val="00CD034B"/>
    <w:rsid w:val="00CD03EB"/>
    <w:rsid w:val="00CD1BEA"/>
    <w:rsid w:val="00CD2A62"/>
    <w:rsid w:val="00CD3069"/>
    <w:rsid w:val="00CD4711"/>
    <w:rsid w:val="00CD4B6F"/>
    <w:rsid w:val="00CD4BD3"/>
    <w:rsid w:val="00CD5A2E"/>
    <w:rsid w:val="00CD5D3D"/>
    <w:rsid w:val="00CD6B79"/>
    <w:rsid w:val="00CD7327"/>
    <w:rsid w:val="00CD7612"/>
    <w:rsid w:val="00CD7A41"/>
    <w:rsid w:val="00CE1E8D"/>
    <w:rsid w:val="00CE2219"/>
    <w:rsid w:val="00CE27C9"/>
    <w:rsid w:val="00CE3000"/>
    <w:rsid w:val="00CE343E"/>
    <w:rsid w:val="00CE40EC"/>
    <w:rsid w:val="00CE41BC"/>
    <w:rsid w:val="00CE4441"/>
    <w:rsid w:val="00CE60BD"/>
    <w:rsid w:val="00CE66AB"/>
    <w:rsid w:val="00CE676C"/>
    <w:rsid w:val="00CE6C4F"/>
    <w:rsid w:val="00CE6FEA"/>
    <w:rsid w:val="00CE7389"/>
    <w:rsid w:val="00CE7556"/>
    <w:rsid w:val="00CE7811"/>
    <w:rsid w:val="00CE7BCF"/>
    <w:rsid w:val="00CF1BBD"/>
    <w:rsid w:val="00CF26D3"/>
    <w:rsid w:val="00CF2A41"/>
    <w:rsid w:val="00CF36E8"/>
    <w:rsid w:val="00CF3AF6"/>
    <w:rsid w:val="00CF3FBE"/>
    <w:rsid w:val="00CF4285"/>
    <w:rsid w:val="00CF4416"/>
    <w:rsid w:val="00CF4662"/>
    <w:rsid w:val="00CF4831"/>
    <w:rsid w:val="00CF49B3"/>
    <w:rsid w:val="00CF53FA"/>
    <w:rsid w:val="00CF59E5"/>
    <w:rsid w:val="00CF61B1"/>
    <w:rsid w:val="00CF6558"/>
    <w:rsid w:val="00CF6B31"/>
    <w:rsid w:val="00D007F9"/>
    <w:rsid w:val="00D00CDF"/>
    <w:rsid w:val="00D01061"/>
    <w:rsid w:val="00D0121B"/>
    <w:rsid w:val="00D017D4"/>
    <w:rsid w:val="00D0184F"/>
    <w:rsid w:val="00D01B58"/>
    <w:rsid w:val="00D01B8A"/>
    <w:rsid w:val="00D01D20"/>
    <w:rsid w:val="00D03553"/>
    <w:rsid w:val="00D048E1"/>
    <w:rsid w:val="00D04A6C"/>
    <w:rsid w:val="00D05331"/>
    <w:rsid w:val="00D05E78"/>
    <w:rsid w:val="00D06B69"/>
    <w:rsid w:val="00D06B7E"/>
    <w:rsid w:val="00D074A5"/>
    <w:rsid w:val="00D076A3"/>
    <w:rsid w:val="00D10235"/>
    <w:rsid w:val="00D106B7"/>
    <w:rsid w:val="00D10D59"/>
    <w:rsid w:val="00D11C48"/>
    <w:rsid w:val="00D12924"/>
    <w:rsid w:val="00D13891"/>
    <w:rsid w:val="00D14135"/>
    <w:rsid w:val="00D148C7"/>
    <w:rsid w:val="00D14DD1"/>
    <w:rsid w:val="00D14F7A"/>
    <w:rsid w:val="00D158A4"/>
    <w:rsid w:val="00D160B6"/>
    <w:rsid w:val="00D202F0"/>
    <w:rsid w:val="00D212B1"/>
    <w:rsid w:val="00D21F2E"/>
    <w:rsid w:val="00D223B3"/>
    <w:rsid w:val="00D22911"/>
    <w:rsid w:val="00D24864"/>
    <w:rsid w:val="00D24DC8"/>
    <w:rsid w:val="00D255FF"/>
    <w:rsid w:val="00D25EDB"/>
    <w:rsid w:val="00D2604F"/>
    <w:rsid w:val="00D260D1"/>
    <w:rsid w:val="00D26E51"/>
    <w:rsid w:val="00D271E4"/>
    <w:rsid w:val="00D27899"/>
    <w:rsid w:val="00D27FCE"/>
    <w:rsid w:val="00D30055"/>
    <w:rsid w:val="00D30B99"/>
    <w:rsid w:val="00D30C5F"/>
    <w:rsid w:val="00D30F4F"/>
    <w:rsid w:val="00D31F3A"/>
    <w:rsid w:val="00D32531"/>
    <w:rsid w:val="00D32768"/>
    <w:rsid w:val="00D32FEF"/>
    <w:rsid w:val="00D33839"/>
    <w:rsid w:val="00D344B0"/>
    <w:rsid w:val="00D34AAF"/>
    <w:rsid w:val="00D34D85"/>
    <w:rsid w:val="00D352A1"/>
    <w:rsid w:val="00D35532"/>
    <w:rsid w:val="00D358D4"/>
    <w:rsid w:val="00D36246"/>
    <w:rsid w:val="00D36FA7"/>
    <w:rsid w:val="00D379D1"/>
    <w:rsid w:val="00D414FB"/>
    <w:rsid w:val="00D43414"/>
    <w:rsid w:val="00D43569"/>
    <w:rsid w:val="00D439BC"/>
    <w:rsid w:val="00D448A0"/>
    <w:rsid w:val="00D4504D"/>
    <w:rsid w:val="00D45178"/>
    <w:rsid w:val="00D457DF"/>
    <w:rsid w:val="00D45B8A"/>
    <w:rsid w:val="00D46E71"/>
    <w:rsid w:val="00D46ED2"/>
    <w:rsid w:val="00D476B2"/>
    <w:rsid w:val="00D47BBE"/>
    <w:rsid w:val="00D47C7D"/>
    <w:rsid w:val="00D5114A"/>
    <w:rsid w:val="00D51D95"/>
    <w:rsid w:val="00D524EA"/>
    <w:rsid w:val="00D52AB9"/>
    <w:rsid w:val="00D53747"/>
    <w:rsid w:val="00D54036"/>
    <w:rsid w:val="00D549A6"/>
    <w:rsid w:val="00D5640D"/>
    <w:rsid w:val="00D57195"/>
    <w:rsid w:val="00D57720"/>
    <w:rsid w:val="00D578EA"/>
    <w:rsid w:val="00D606F6"/>
    <w:rsid w:val="00D60A66"/>
    <w:rsid w:val="00D60F8C"/>
    <w:rsid w:val="00D61170"/>
    <w:rsid w:val="00D6161B"/>
    <w:rsid w:val="00D6192D"/>
    <w:rsid w:val="00D6197E"/>
    <w:rsid w:val="00D61BEC"/>
    <w:rsid w:val="00D62511"/>
    <w:rsid w:val="00D6297A"/>
    <w:rsid w:val="00D62B44"/>
    <w:rsid w:val="00D6383A"/>
    <w:rsid w:val="00D6392E"/>
    <w:rsid w:val="00D63C6B"/>
    <w:rsid w:val="00D6445A"/>
    <w:rsid w:val="00D65062"/>
    <w:rsid w:val="00D65736"/>
    <w:rsid w:val="00D65832"/>
    <w:rsid w:val="00D7011E"/>
    <w:rsid w:val="00D70524"/>
    <w:rsid w:val="00D70581"/>
    <w:rsid w:val="00D70C06"/>
    <w:rsid w:val="00D735CB"/>
    <w:rsid w:val="00D74872"/>
    <w:rsid w:val="00D76974"/>
    <w:rsid w:val="00D77534"/>
    <w:rsid w:val="00D80898"/>
    <w:rsid w:val="00D8154D"/>
    <w:rsid w:val="00D8177D"/>
    <w:rsid w:val="00D81AA1"/>
    <w:rsid w:val="00D81CE9"/>
    <w:rsid w:val="00D846D1"/>
    <w:rsid w:val="00D84F4C"/>
    <w:rsid w:val="00D85556"/>
    <w:rsid w:val="00D85C3E"/>
    <w:rsid w:val="00D86952"/>
    <w:rsid w:val="00D86999"/>
    <w:rsid w:val="00D86C8B"/>
    <w:rsid w:val="00D86E4A"/>
    <w:rsid w:val="00D872BE"/>
    <w:rsid w:val="00D87889"/>
    <w:rsid w:val="00D901CA"/>
    <w:rsid w:val="00D90F89"/>
    <w:rsid w:val="00D911E2"/>
    <w:rsid w:val="00D9150C"/>
    <w:rsid w:val="00D91BE5"/>
    <w:rsid w:val="00D91DA8"/>
    <w:rsid w:val="00D91E6E"/>
    <w:rsid w:val="00D92983"/>
    <w:rsid w:val="00D92DBA"/>
    <w:rsid w:val="00D94945"/>
    <w:rsid w:val="00D95C57"/>
    <w:rsid w:val="00D96286"/>
    <w:rsid w:val="00D96441"/>
    <w:rsid w:val="00D969F0"/>
    <w:rsid w:val="00D96F39"/>
    <w:rsid w:val="00DA0245"/>
    <w:rsid w:val="00DA02E0"/>
    <w:rsid w:val="00DA119E"/>
    <w:rsid w:val="00DA131D"/>
    <w:rsid w:val="00DA249C"/>
    <w:rsid w:val="00DA2884"/>
    <w:rsid w:val="00DA2EFC"/>
    <w:rsid w:val="00DA3607"/>
    <w:rsid w:val="00DA36AB"/>
    <w:rsid w:val="00DA378F"/>
    <w:rsid w:val="00DA3982"/>
    <w:rsid w:val="00DA3B30"/>
    <w:rsid w:val="00DA3B47"/>
    <w:rsid w:val="00DA73FD"/>
    <w:rsid w:val="00DA7594"/>
    <w:rsid w:val="00DB0EBD"/>
    <w:rsid w:val="00DB1B05"/>
    <w:rsid w:val="00DB306A"/>
    <w:rsid w:val="00DB3436"/>
    <w:rsid w:val="00DB34CE"/>
    <w:rsid w:val="00DB3A01"/>
    <w:rsid w:val="00DB3C79"/>
    <w:rsid w:val="00DB3EE9"/>
    <w:rsid w:val="00DB4593"/>
    <w:rsid w:val="00DB47FC"/>
    <w:rsid w:val="00DB4DB7"/>
    <w:rsid w:val="00DB540E"/>
    <w:rsid w:val="00DB57AF"/>
    <w:rsid w:val="00DB60F5"/>
    <w:rsid w:val="00DB6A7B"/>
    <w:rsid w:val="00DB6C2B"/>
    <w:rsid w:val="00DB7519"/>
    <w:rsid w:val="00DB7986"/>
    <w:rsid w:val="00DC0018"/>
    <w:rsid w:val="00DC01B7"/>
    <w:rsid w:val="00DC01E4"/>
    <w:rsid w:val="00DC0405"/>
    <w:rsid w:val="00DC0BD8"/>
    <w:rsid w:val="00DC231F"/>
    <w:rsid w:val="00DC28A2"/>
    <w:rsid w:val="00DC28A7"/>
    <w:rsid w:val="00DC391A"/>
    <w:rsid w:val="00DC3CF9"/>
    <w:rsid w:val="00DC4052"/>
    <w:rsid w:val="00DC4148"/>
    <w:rsid w:val="00DC41D3"/>
    <w:rsid w:val="00DC4295"/>
    <w:rsid w:val="00DC58CA"/>
    <w:rsid w:val="00DC6511"/>
    <w:rsid w:val="00DD0817"/>
    <w:rsid w:val="00DD0CCE"/>
    <w:rsid w:val="00DD138B"/>
    <w:rsid w:val="00DD19CA"/>
    <w:rsid w:val="00DD1CE3"/>
    <w:rsid w:val="00DD2795"/>
    <w:rsid w:val="00DD3C11"/>
    <w:rsid w:val="00DD47D4"/>
    <w:rsid w:val="00DD5453"/>
    <w:rsid w:val="00DD58E7"/>
    <w:rsid w:val="00DD5B37"/>
    <w:rsid w:val="00DD5B73"/>
    <w:rsid w:val="00DD5D43"/>
    <w:rsid w:val="00DD5E63"/>
    <w:rsid w:val="00DD6732"/>
    <w:rsid w:val="00DD7193"/>
    <w:rsid w:val="00DD7CE1"/>
    <w:rsid w:val="00DE04C1"/>
    <w:rsid w:val="00DE1CF4"/>
    <w:rsid w:val="00DE2677"/>
    <w:rsid w:val="00DE276A"/>
    <w:rsid w:val="00DE2AFD"/>
    <w:rsid w:val="00DE3072"/>
    <w:rsid w:val="00DE432B"/>
    <w:rsid w:val="00DE575C"/>
    <w:rsid w:val="00DE6446"/>
    <w:rsid w:val="00DE7E3E"/>
    <w:rsid w:val="00DE7E7F"/>
    <w:rsid w:val="00DE7F04"/>
    <w:rsid w:val="00DF0C54"/>
    <w:rsid w:val="00DF2288"/>
    <w:rsid w:val="00DF2D8E"/>
    <w:rsid w:val="00DF3288"/>
    <w:rsid w:val="00DF3D27"/>
    <w:rsid w:val="00DF4477"/>
    <w:rsid w:val="00DF477D"/>
    <w:rsid w:val="00DF4972"/>
    <w:rsid w:val="00DF5245"/>
    <w:rsid w:val="00DF5668"/>
    <w:rsid w:val="00DF5EEE"/>
    <w:rsid w:val="00DF7436"/>
    <w:rsid w:val="00DF7450"/>
    <w:rsid w:val="00DF7C1D"/>
    <w:rsid w:val="00E004C1"/>
    <w:rsid w:val="00E0057B"/>
    <w:rsid w:val="00E01391"/>
    <w:rsid w:val="00E027C6"/>
    <w:rsid w:val="00E02B89"/>
    <w:rsid w:val="00E03EB7"/>
    <w:rsid w:val="00E04A66"/>
    <w:rsid w:val="00E056B7"/>
    <w:rsid w:val="00E0608F"/>
    <w:rsid w:val="00E07BD4"/>
    <w:rsid w:val="00E107A4"/>
    <w:rsid w:val="00E113C0"/>
    <w:rsid w:val="00E1161A"/>
    <w:rsid w:val="00E11DFE"/>
    <w:rsid w:val="00E139BB"/>
    <w:rsid w:val="00E14083"/>
    <w:rsid w:val="00E1544B"/>
    <w:rsid w:val="00E15EC1"/>
    <w:rsid w:val="00E16363"/>
    <w:rsid w:val="00E17093"/>
    <w:rsid w:val="00E209E5"/>
    <w:rsid w:val="00E222AC"/>
    <w:rsid w:val="00E2333D"/>
    <w:rsid w:val="00E235E0"/>
    <w:rsid w:val="00E23BBE"/>
    <w:rsid w:val="00E23D2D"/>
    <w:rsid w:val="00E241BB"/>
    <w:rsid w:val="00E2429B"/>
    <w:rsid w:val="00E24AE7"/>
    <w:rsid w:val="00E256C6"/>
    <w:rsid w:val="00E2614E"/>
    <w:rsid w:val="00E263E2"/>
    <w:rsid w:val="00E26583"/>
    <w:rsid w:val="00E26770"/>
    <w:rsid w:val="00E31511"/>
    <w:rsid w:val="00E315F6"/>
    <w:rsid w:val="00E316F4"/>
    <w:rsid w:val="00E31876"/>
    <w:rsid w:val="00E32306"/>
    <w:rsid w:val="00E32A66"/>
    <w:rsid w:val="00E32E71"/>
    <w:rsid w:val="00E3313D"/>
    <w:rsid w:val="00E33FDA"/>
    <w:rsid w:val="00E34AA2"/>
    <w:rsid w:val="00E350CE"/>
    <w:rsid w:val="00E3578A"/>
    <w:rsid w:val="00E3616F"/>
    <w:rsid w:val="00E361DA"/>
    <w:rsid w:val="00E3728C"/>
    <w:rsid w:val="00E402BB"/>
    <w:rsid w:val="00E40E3E"/>
    <w:rsid w:val="00E42015"/>
    <w:rsid w:val="00E4282D"/>
    <w:rsid w:val="00E42ED0"/>
    <w:rsid w:val="00E4386E"/>
    <w:rsid w:val="00E43954"/>
    <w:rsid w:val="00E43FBD"/>
    <w:rsid w:val="00E4486D"/>
    <w:rsid w:val="00E45595"/>
    <w:rsid w:val="00E45EA2"/>
    <w:rsid w:val="00E4673F"/>
    <w:rsid w:val="00E467F7"/>
    <w:rsid w:val="00E4694A"/>
    <w:rsid w:val="00E50140"/>
    <w:rsid w:val="00E5093D"/>
    <w:rsid w:val="00E50C03"/>
    <w:rsid w:val="00E50C58"/>
    <w:rsid w:val="00E50D0E"/>
    <w:rsid w:val="00E50E7A"/>
    <w:rsid w:val="00E510D6"/>
    <w:rsid w:val="00E525D6"/>
    <w:rsid w:val="00E53523"/>
    <w:rsid w:val="00E54827"/>
    <w:rsid w:val="00E548B3"/>
    <w:rsid w:val="00E54A12"/>
    <w:rsid w:val="00E55588"/>
    <w:rsid w:val="00E56839"/>
    <w:rsid w:val="00E568E1"/>
    <w:rsid w:val="00E577AC"/>
    <w:rsid w:val="00E57BEC"/>
    <w:rsid w:val="00E6042A"/>
    <w:rsid w:val="00E604E3"/>
    <w:rsid w:val="00E609CF"/>
    <w:rsid w:val="00E61A64"/>
    <w:rsid w:val="00E62706"/>
    <w:rsid w:val="00E632AB"/>
    <w:rsid w:val="00E6333F"/>
    <w:rsid w:val="00E63502"/>
    <w:rsid w:val="00E644F0"/>
    <w:rsid w:val="00E64DA7"/>
    <w:rsid w:val="00E64FA7"/>
    <w:rsid w:val="00E661AA"/>
    <w:rsid w:val="00E6684F"/>
    <w:rsid w:val="00E672D1"/>
    <w:rsid w:val="00E67774"/>
    <w:rsid w:val="00E71802"/>
    <w:rsid w:val="00E71927"/>
    <w:rsid w:val="00E71DE8"/>
    <w:rsid w:val="00E73577"/>
    <w:rsid w:val="00E73EF5"/>
    <w:rsid w:val="00E74364"/>
    <w:rsid w:val="00E75603"/>
    <w:rsid w:val="00E76411"/>
    <w:rsid w:val="00E767B7"/>
    <w:rsid w:val="00E76ABC"/>
    <w:rsid w:val="00E76C83"/>
    <w:rsid w:val="00E771CE"/>
    <w:rsid w:val="00E7767A"/>
    <w:rsid w:val="00E80174"/>
    <w:rsid w:val="00E8047F"/>
    <w:rsid w:val="00E80697"/>
    <w:rsid w:val="00E81779"/>
    <w:rsid w:val="00E82269"/>
    <w:rsid w:val="00E82457"/>
    <w:rsid w:val="00E82601"/>
    <w:rsid w:val="00E82CB0"/>
    <w:rsid w:val="00E8377C"/>
    <w:rsid w:val="00E838D1"/>
    <w:rsid w:val="00E83FB7"/>
    <w:rsid w:val="00E848F7"/>
    <w:rsid w:val="00E859F5"/>
    <w:rsid w:val="00E85CBC"/>
    <w:rsid w:val="00E8649A"/>
    <w:rsid w:val="00E86606"/>
    <w:rsid w:val="00E8672E"/>
    <w:rsid w:val="00E8717C"/>
    <w:rsid w:val="00E873B2"/>
    <w:rsid w:val="00E879D4"/>
    <w:rsid w:val="00E87F0E"/>
    <w:rsid w:val="00E903CD"/>
    <w:rsid w:val="00E91428"/>
    <w:rsid w:val="00E9147D"/>
    <w:rsid w:val="00E925AE"/>
    <w:rsid w:val="00E92716"/>
    <w:rsid w:val="00E92A3C"/>
    <w:rsid w:val="00E9372D"/>
    <w:rsid w:val="00E9379B"/>
    <w:rsid w:val="00E93BC4"/>
    <w:rsid w:val="00E943DD"/>
    <w:rsid w:val="00E9481A"/>
    <w:rsid w:val="00E94834"/>
    <w:rsid w:val="00E9489E"/>
    <w:rsid w:val="00E95438"/>
    <w:rsid w:val="00E95937"/>
    <w:rsid w:val="00E95A92"/>
    <w:rsid w:val="00E964C6"/>
    <w:rsid w:val="00E9719D"/>
    <w:rsid w:val="00E9722C"/>
    <w:rsid w:val="00EA0875"/>
    <w:rsid w:val="00EA092F"/>
    <w:rsid w:val="00EA0E13"/>
    <w:rsid w:val="00EA186F"/>
    <w:rsid w:val="00EA1AE6"/>
    <w:rsid w:val="00EA2015"/>
    <w:rsid w:val="00EA24A6"/>
    <w:rsid w:val="00EA2CF4"/>
    <w:rsid w:val="00EA37F0"/>
    <w:rsid w:val="00EA3DF8"/>
    <w:rsid w:val="00EA4641"/>
    <w:rsid w:val="00EA4AF1"/>
    <w:rsid w:val="00EA60E8"/>
    <w:rsid w:val="00EA6508"/>
    <w:rsid w:val="00EA683C"/>
    <w:rsid w:val="00EA6A4A"/>
    <w:rsid w:val="00EA7372"/>
    <w:rsid w:val="00EA7909"/>
    <w:rsid w:val="00EB04B8"/>
    <w:rsid w:val="00EB078A"/>
    <w:rsid w:val="00EB0992"/>
    <w:rsid w:val="00EB0BEF"/>
    <w:rsid w:val="00EB1F11"/>
    <w:rsid w:val="00EB26B7"/>
    <w:rsid w:val="00EB2979"/>
    <w:rsid w:val="00EB2F38"/>
    <w:rsid w:val="00EB34FF"/>
    <w:rsid w:val="00EB504A"/>
    <w:rsid w:val="00EB5069"/>
    <w:rsid w:val="00EB5238"/>
    <w:rsid w:val="00EB5F7F"/>
    <w:rsid w:val="00EB60D5"/>
    <w:rsid w:val="00EB65E9"/>
    <w:rsid w:val="00EB6DE2"/>
    <w:rsid w:val="00EB78D0"/>
    <w:rsid w:val="00EB7900"/>
    <w:rsid w:val="00EC00AB"/>
    <w:rsid w:val="00EC03B3"/>
    <w:rsid w:val="00EC07E1"/>
    <w:rsid w:val="00EC0842"/>
    <w:rsid w:val="00EC16A5"/>
    <w:rsid w:val="00EC1B9E"/>
    <w:rsid w:val="00EC20C5"/>
    <w:rsid w:val="00EC23F6"/>
    <w:rsid w:val="00EC283D"/>
    <w:rsid w:val="00EC2DA6"/>
    <w:rsid w:val="00EC4273"/>
    <w:rsid w:val="00EC4B9F"/>
    <w:rsid w:val="00EC4D7A"/>
    <w:rsid w:val="00EC4E83"/>
    <w:rsid w:val="00EC6238"/>
    <w:rsid w:val="00EC7E70"/>
    <w:rsid w:val="00ED0209"/>
    <w:rsid w:val="00ED0659"/>
    <w:rsid w:val="00ED0672"/>
    <w:rsid w:val="00ED0C42"/>
    <w:rsid w:val="00ED0FCD"/>
    <w:rsid w:val="00ED1DA5"/>
    <w:rsid w:val="00ED2320"/>
    <w:rsid w:val="00ED2BC8"/>
    <w:rsid w:val="00ED2D08"/>
    <w:rsid w:val="00ED3217"/>
    <w:rsid w:val="00ED3265"/>
    <w:rsid w:val="00ED37FF"/>
    <w:rsid w:val="00ED55F3"/>
    <w:rsid w:val="00ED6406"/>
    <w:rsid w:val="00ED64BF"/>
    <w:rsid w:val="00ED6FAA"/>
    <w:rsid w:val="00ED7CA9"/>
    <w:rsid w:val="00EE04DE"/>
    <w:rsid w:val="00EE0552"/>
    <w:rsid w:val="00EE0D7A"/>
    <w:rsid w:val="00EE21E2"/>
    <w:rsid w:val="00EE2D0C"/>
    <w:rsid w:val="00EE4A75"/>
    <w:rsid w:val="00EE51FC"/>
    <w:rsid w:val="00EE60F4"/>
    <w:rsid w:val="00EE6E2F"/>
    <w:rsid w:val="00EE730B"/>
    <w:rsid w:val="00EF247F"/>
    <w:rsid w:val="00EF26D1"/>
    <w:rsid w:val="00EF2F2A"/>
    <w:rsid w:val="00EF360A"/>
    <w:rsid w:val="00EF3BDE"/>
    <w:rsid w:val="00EF4522"/>
    <w:rsid w:val="00EF5FF9"/>
    <w:rsid w:val="00EF773E"/>
    <w:rsid w:val="00F0075C"/>
    <w:rsid w:val="00F00901"/>
    <w:rsid w:val="00F01B34"/>
    <w:rsid w:val="00F02EFF"/>
    <w:rsid w:val="00F0372D"/>
    <w:rsid w:val="00F042D6"/>
    <w:rsid w:val="00F0561F"/>
    <w:rsid w:val="00F05B3C"/>
    <w:rsid w:val="00F05E5B"/>
    <w:rsid w:val="00F10ACE"/>
    <w:rsid w:val="00F11275"/>
    <w:rsid w:val="00F1140E"/>
    <w:rsid w:val="00F116FD"/>
    <w:rsid w:val="00F11AAA"/>
    <w:rsid w:val="00F11C79"/>
    <w:rsid w:val="00F11FB4"/>
    <w:rsid w:val="00F127F3"/>
    <w:rsid w:val="00F128F5"/>
    <w:rsid w:val="00F12998"/>
    <w:rsid w:val="00F12C7E"/>
    <w:rsid w:val="00F12CCF"/>
    <w:rsid w:val="00F133DB"/>
    <w:rsid w:val="00F13411"/>
    <w:rsid w:val="00F14590"/>
    <w:rsid w:val="00F14C53"/>
    <w:rsid w:val="00F14E0C"/>
    <w:rsid w:val="00F14FD8"/>
    <w:rsid w:val="00F1626E"/>
    <w:rsid w:val="00F170FF"/>
    <w:rsid w:val="00F17BA7"/>
    <w:rsid w:val="00F17E17"/>
    <w:rsid w:val="00F203C4"/>
    <w:rsid w:val="00F20CAE"/>
    <w:rsid w:val="00F2144C"/>
    <w:rsid w:val="00F214A5"/>
    <w:rsid w:val="00F221AB"/>
    <w:rsid w:val="00F22A59"/>
    <w:rsid w:val="00F238D3"/>
    <w:rsid w:val="00F23B04"/>
    <w:rsid w:val="00F24A0A"/>
    <w:rsid w:val="00F24C69"/>
    <w:rsid w:val="00F25632"/>
    <w:rsid w:val="00F26E96"/>
    <w:rsid w:val="00F26EE0"/>
    <w:rsid w:val="00F31F51"/>
    <w:rsid w:val="00F325D5"/>
    <w:rsid w:val="00F33B5B"/>
    <w:rsid w:val="00F3494F"/>
    <w:rsid w:val="00F35204"/>
    <w:rsid w:val="00F356FB"/>
    <w:rsid w:val="00F36205"/>
    <w:rsid w:val="00F3675A"/>
    <w:rsid w:val="00F36BD8"/>
    <w:rsid w:val="00F37791"/>
    <w:rsid w:val="00F37B63"/>
    <w:rsid w:val="00F37CB7"/>
    <w:rsid w:val="00F37FB0"/>
    <w:rsid w:val="00F40621"/>
    <w:rsid w:val="00F407B1"/>
    <w:rsid w:val="00F41240"/>
    <w:rsid w:val="00F412C8"/>
    <w:rsid w:val="00F41626"/>
    <w:rsid w:val="00F41AC8"/>
    <w:rsid w:val="00F42333"/>
    <w:rsid w:val="00F427D7"/>
    <w:rsid w:val="00F42A7C"/>
    <w:rsid w:val="00F42E33"/>
    <w:rsid w:val="00F443DC"/>
    <w:rsid w:val="00F4443C"/>
    <w:rsid w:val="00F45727"/>
    <w:rsid w:val="00F468FD"/>
    <w:rsid w:val="00F507E4"/>
    <w:rsid w:val="00F508FD"/>
    <w:rsid w:val="00F51316"/>
    <w:rsid w:val="00F51FFA"/>
    <w:rsid w:val="00F5413F"/>
    <w:rsid w:val="00F54A13"/>
    <w:rsid w:val="00F55730"/>
    <w:rsid w:val="00F56B2B"/>
    <w:rsid w:val="00F60300"/>
    <w:rsid w:val="00F60587"/>
    <w:rsid w:val="00F607DA"/>
    <w:rsid w:val="00F60C2F"/>
    <w:rsid w:val="00F60E24"/>
    <w:rsid w:val="00F610DA"/>
    <w:rsid w:val="00F61A64"/>
    <w:rsid w:val="00F62000"/>
    <w:rsid w:val="00F6200D"/>
    <w:rsid w:val="00F640B1"/>
    <w:rsid w:val="00F64AA4"/>
    <w:rsid w:val="00F658E8"/>
    <w:rsid w:val="00F669F7"/>
    <w:rsid w:val="00F70722"/>
    <w:rsid w:val="00F70D4D"/>
    <w:rsid w:val="00F71801"/>
    <w:rsid w:val="00F7264E"/>
    <w:rsid w:val="00F72788"/>
    <w:rsid w:val="00F73DE9"/>
    <w:rsid w:val="00F74453"/>
    <w:rsid w:val="00F74B19"/>
    <w:rsid w:val="00F75F00"/>
    <w:rsid w:val="00F76629"/>
    <w:rsid w:val="00F76FF5"/>
    <w:rsid w:val="00F77A60"/>
    <w:rsid w:val="00F77EED"/>
    <w:rsid w:val="00F80112"/>
    <w:rsid w:val="00F80830"/>
    <w:rsid w:val="00F81BD7"/>
    <w:rsid w:val="00F8232C"/>
    <w:rsid w:val="00F835CF"/>
    <w:rsid w:val="00F83BA7"/>
    <w:rsid w:val="00F83BB3"/>
    <w:rsid w:val="00F83CC4"/>
    <w:rsid w:val="00F8463B"/>
    <w:rsid w:val="00F852F5"/>
    <w:rsid w:val="00F857C1"/>
    <w:rsid w:val="00F857F1"/>
    <w:rsid w:val="00F85D6C"/>
    <w:rsid w:val="00F86083"/>
    <w:rsid w:val="00F86590"/>
    <w:rsid w:val="00F87ADB"/>
    <w:rsid w:val="00F87BAE"/>
    <w:rsid w:val="00F87C27"/>
    <w:rsid w:val="00F87EBB"/>
    <w:rsid w:val="00F90675"/>
    <w:rsid w:val="00F908E2"/>
    <w:rsid w:val="00F9117F"/>
    <w:rsid w:val="00F91F24"/>
    <w:rsid w:val="00F93012"/>
    <w:rsid w:val="00F93C44"/>
    <w:rsid w:val="00F9465B"/>
    <w:rsid w:val="00F94D43"/>
    <w:rsid w:val="00F95DA2"/>
    <w:rsid w:val="00F95DE2"/>
    <w:rsid w:val="00F9633D"/>
    <w:rsid w:val="00F96E00"/>
    <w:rsid w:val="00F97529"/>
    <w:rsid w:val="00F978FE"/>
    <w:rsid w:val="00FA02DB"/>
    <w:rsid w:val="00FA04C1"/>
    <w:rsid w:val="00FA09B9"/>
    <w:rsid w:val="00FA2EBB"/>
    <w:rsid w:val="00FA2F91"/>
    <w:rsid w:val="00FA3355"/>
    <w:rsid w:val="00FA3FA8"/>
    <w:rsid w:val="00FA4110"/>
    <w:rsid w:val="00FA43A9"/>
    <w:rsid w:val="00FA4859"/>
    <w:rsid w:val="00FA4D45"/>
    <w:rsid w:val="00FA5B19"/>
    <w:rsid w:val="00FA5C18"/>
    <w:rsid w:val="00FB1216"/>
    <w:rsid w:val="00FB13B3"/>
    <w:rsid w:val="00FB175C"/>
    <w:rsid w:val="00FB18A0"/>
    <w:rsid w:val="00FB18CD"/>
    <w:rsid w:val="00FB1C4B"/>
    <w:rsid w:val="00FB25C5"/>
    <w:rsid w:val="00FB3103"/>
    <w:rsid w:val="00FB42B5"/>
    <w:rsid w:val="00FB47D7"/>
    <w:rsid w:val="00FB4A12"/>
    <w:rsid w:val="00FB55CB"/>
    <w:rsid w:val="00FB570A"/>
    <w:rsid w:val="00FB68C8"/>
    <w:rsid w:val="00FB6961"/>
    <w:rsid w:val="00FB6A77"/>
    <w:rsid w:val="00FC0531"/>
    <w:rsid w:val="00FC095A"/>
    <w:rsid w:val="00FC11CB"/>
    <w:rsid w:val="00FC143C"/>
    <w:rsid w:val="00FC1E65"/>
    <w:rsid w:val="00FC2F0C"/>
    <w:rsid w:val="00FC321D"/>
    <w:rsid w:val="00FC3785"/>
    <w:rsid w:val="00FC4F97"/>
    <w:rsid w:val="00FC5218"/>
    <w:rsid w:val="00FC5CF5"/>
    <w:rsid w:val="00FC68C3"/>
    <w:rsid w:val="00FD056E"/>
    <w:rsid w:val="00FD0690"/>
    <w:rsid w:val="00FD0BB0"/>
    <w:rsid w:val="00FD2285"/>
    <w:rsid w:val="00FD2C9F"/>
    <w:rsid w:val="00FD3C95"/>
    <w:rsid w:val="00FD4F36"/>
    <w:rsid w:val="00FD51C0"/>
    <w:rsid w:val="00FD52D1"/>
    <w:rsid w:val="00FD5468"/>
    <w:rsid w:val="00FD5770"/>
    <w:rsid w:val="00FD61C0"/>
    <w:rsid w:val="00FD7DD2"/>
    <w:rsid w:val="00FE0CF5"/>
    <w:rsid w:val="00FE0E9D"/>
    <w:rsid w:val="00FE0EB0"/>
    <w:rsid w:val="00FE23B4"/>
    <w:rsid w:val="00FE2475"/>
    <w:rsid w:val="00FE297B"/>
    <w:rsid w:val="00FE436C"/>
    <w:rsid w:val="00FE4738"/>
    <w:rsid w:val="00FE5E6D"/>
    <w:rsid w:val="00FE64E8"/>
    <w:rsid w:val="00FF04C8"/>
    <w:rsid w:val="00FF0FD2"/>
    <w:rsid w:val="00FF1276"/>
    <w:rsid w:val="00FF285E"/>
    <w:rsid w:val="00FF5FDA"/>
    <w:rsid w:val="00FF6A74"/>
    <w:rsid w:val="00FF75FF"/>
    <w:rsid w:val="00FF79D7"/>
    <w:rsid w:val="00FF7ACE"/>
    <w:rsid w:val="00FF7D27"/>
    <w:rsid w:val="01395328"/>
    <w:rsid w:val="015E067B"/>
    <w:rsid w:val="016D6A79"/>
    <w:rsid w:val="0189490D"/>
    <w:rsid w:val="01D5336F"/>
    <w:rsid w:val="02154E93"/>
    <w:rsid w:val="02236BCA"/>
    <w:rsid w:val="02336B98"/>
    <w:rsid w:val="02385252"/>
    <w:rsid w:val="023A4EE8"/>
    <w:rsid w:val="0241112F"/>
    <w:rsid w:val="02B549BA"/>
    <w:rsid w:val="02EF5762"/>
    <w:rsid w:val="03420B52"/>
    <w:rsid w:val="03771A2E"/>
    <w:rsid w:val="038527FC"/>
    <w:rsid w:val="03E44007"/>
    <w:rsid w:val="03F90EEE"/>
    <w:rsid w:val="04045903"/>
    <w:rsid w:val="043D54AD"/>
    <w:rsid w:val="044F0DDF"/>
    <w:rsid w:val="04593ED7"/>
    <w:rsid w:val="048016F3"/>
    <w:rsid w:val="04A158D4"/>
    <w:rsid w:val="04B50820"/>
    <w:rsid w:val="04C86695"/>
    <w:rsid w:val="04D34865"/>
    <w:rsid w:val="04DF0A6C"/>
    <w:rsid w:val="052E5871"/>
    <w:rsid w:val="0538078D"/>
    <w:rsid w:val="0547636F"/>
    <w:rsid w:val="0590137A"/>
    <w:rsid w:val="059526A5"/>
    <w:rsid w:val="059C49CE"/>
    <w:rsid w:val="05A306A2"/>
    <w:rsid w:val="05CD131D"/>
    <w:rsid w:val="063B41E7"/>
    <w:rsid w:val="06444B79"/>
    <w:rsid w:val="0656571E"/>
    <w:rsid w:val="06692EC2"/>
    <w:rsid w:val="067536D1"/>
    <w:rsid w:val="068E1959"/>
    <w:rsid w:val="06BD667B"/>
    <w:rsid w:val="06C97850"/>
    <w:rsid w:val="06D24886"/>
    <w:rsid w:val="06D921BA"/>
    <w:rsid w:val="06F25FB9"/>
    <w:rsid w:val="06FC36FB"/>
    <w:rsid w:val="071F3FF8"/>
    <w:rsid w:val="07443208"/>
    <w:rsid w:val="074B11BB"/>
    <w:rsid w:val="076718B7"/>
    <w:rsid w:val="0774377B"/>
    <w:rsid w:val="078E41C3"/>
    <w:rsid w:val="079D5349"/>
    <w:rsid w:val="07FA3D13"/>
    <w:rsid w:val="083221D6"/>
    <w:rsid w:val="08480002"/>
    <w:rsid w:val="085B3DB3"/>
    <w:rsid w:val="08C75A28"/>
    <w:rsid w:val="08F9393D"/>
    <w:rsid w:val="090B1C12"/>
    <w:rsid w:val="09471442"/>
    <w:rsid w:val="09671A02"/>
    <w:rsid w:val="09756AB1"/>
    <w:rsid w:val="09A63865"/>
    <w:rsid w:val="09CA5F57"/>
    <w:rsid w:val="0A2B7EBB"/>
    <w:rsid w:val="0A385D8C"/>
    <w:rsid w:val="0A5614A9"/>
    <w:rsid w:val="0A610BA2"/>
    <w:rsid w:val="0A6659E5"/>
    <w:rsid w:val="0A7D05F8"/>
    <w:rsid w:val="0AA11105"/>
    <w:rsid w:val="0AAA0B94"/>
    <w:rsid w:val="0AFF4F9B"/>
    <w:rsid w:val="0B1B18FE"/>
    <w:rsid w:val="0B2E6BE3"/>
    <w:rsid w:val="0B2F4F7F"/>
    <w:rsid w:val="0B3F3B67"/>
    <w:rsid w:val="0B7902BE"/>
    <w:rsid w:val="0B85177A"/>
    <w:rsid w:val="0B92140A"/>
    <w:rsid w:val="0B9342F2"/>
    <w:rsid w:val="0BBD2434"/>
    <w:rsid w:val="0BD9091E"/>
    <w:rsid w:val="0BE66D2B"/>
    <w:rsid w:val="0BF45F23"/>
    <w:rsid w:val="0C341D7D"/>
    <w:rsid w:val="0C5F2300"/>
    <w:rsid w:val="0C647A3B"/>
    <w:rsid w:val="0C932E72"/>
    <w:rsid w:val="0C9F61FA"/>
    <w:rsid w:val="0CAB668A"/>
    <w:rsid w:val="0CF331C9"/>
    <w:rsid w:val="0D0D5BDE"/>
    <w:rsid w:val="0D4C6D15"/>
    <w:rsid w:val="0D5C3E21"/>
    <w:rsid w:val="0DBF1554"/>
    <w:rsid w:val="0DF12629"/>
    <w:rsid w:val="0E1F49F5"/>
    <w:rsid w:val="0E287A4A"/>
    <w:rsid w:val="0E372937"/>
    <w:rsid w:val="0E4E1FC6"/>
    <w:rsid w:val="0E9D7898"/>
    <w:rsid w:val="0EA0348E"/>
    <w:rsid w:val="0EAD128E"/>
    <w:rsid w:val="0EB8205E"/>
    <w:rsid w:val="0ECC5BB2"/>
    <w:rsid w:val="0EE04661"/>
    <w:rsid w:val="0EE603E4"/>
    <w:rsid w:val="0EF01280"/>
    <w:rsid w:val="0EFE599D"/>
    <w:rsid w:val="0F202384"/>
    <w:rsid w:val="0F713150"/>
    <w:rsid w:val="0FA96A9F"/>
    <w:rsid w:val="0FC97864"/>
    <w:rsid w:val="0FCA3E52"/>
    <w:rsid w:val="0FDF7C19"/>
    <w:rsid w:val="0FEA54EA"/>
    <w:rsid w:val="0FEE5E2C"/>
    <w:rsid w:val="0FF160C7"/>
    <w:rsid w:val="103F1F4D"/>
    <w:rsid w:val="107026EC"/>
    <w:rsid w:val="108E57BE"/>
    <w:rsid w:val="10D02FB2"/>
    <w:rsid w:val="10E61065"/>
    <w:rsid w:val="10EF4A3E"/>
    <w:rsid w:val="110D79DD"/>
    <w:rsid w:val="11184513"/>
    <w:rsid w:val="112F04F1"/>
    <w:rsid w:val="11423D0A"/>
    <w:rsid w:val="116F19CF"/>
    <w:rsid w:val="11820567"/>
    <w:rsid w:val="11832AAA"/>
    <w:rsid w:val="11AE7D96"/>
    <w:rsid w:val="11C5731A"/>
    <w:rsid w:val="11C90650"/>
    <w:rsid w:val="11DD54CA"/>
    <w:rsid w:val="123D5A21"/>
    <w:rsid w:val="1275228A"/>
    <w:rsid w:val="12943A37"/>
    <w:rsid w:val="12D07CF0"/>
    <w:rsid w:val="12E76D6E"/>
    <w:rsid w:val="12F47048"/>
    <w:rsid w:val="136F63BE"/>
    <w:rsid w:val="13EF01F1"/>
    <w:rsid w:val="13F92515"/>
    <w:rsid w:val="141D276F"/>
    <w:rsid w:val="142E580E"/>
    <w:rsid w:val="14400CA4"/>
    <w:rsid w:val="144305D6"/>
    <w:rsid w:val="145F2090"/>
    <w:rsid w:val="14782641"/>
    <w:rsid w:val="14892201"/>
    <w:rsid w:val="149D56C6"/>
    <w:rsid w:val="14A82039"/>
    <w:rsid w:val="14B26B47"/>
    <w:rsid w:val="14BA4461"/>
    <w:rsid w:val="14D77946"/>
    <w:rsid w:val="14F40E1E"/>
    <w:rsid w:val="151F4F3C"/>
    <w:rsid w:val="15260086"/>
    <w:rsid w:val="15511C3C"/>
    <w:rsid w:val="15897D25"/>
    <w:rsid w:val="158F4B86"/>
    <w:rsid w:val="15924D0F"/>
    <w:rsid w:val="15A47D5A"/>
    <w:rsid w:val="15CD60FB"/>
    <w:rsid w:val="1610052F"/>
    <w:rsid w:val="164146DB"/>
    <w:rsid w:val="16576DCE"/>
    <w:rsid w:val="166945DC"/>
    <w:rsid w:val="16827888"/>
    <w:rsid w:val="16D613CF"/>
    <w:rsid w:val="16D92514"/>
    <w:rsid w:val="171F3DC2"/>
    <w:rsid w:val="1722335B"/>
    <w:rsid w:val="173E1D4B"/>
    <w:rsid w:val="174B2B12"/>
    <w:rsid w:val="176A6DB3"/>
    <w:rsid w:val="177442E8"/>
    <w:rsid w:val="1787681D"/>
    <w:rsid w:val="178775DC"/>
    <w:rsid w:val="178F0BD8"/>
    <w:rsid w:val="17963DD6"/>
    <w:rsid w:val="179F6CB4"/>
    <w:rsid w:val="17A16D05"/>
    <w:rsid w:val="17B41BF9"/>
    <w:rsid w:val="17F93811"/>
    <w:rsid w:val="17FC3270"/>
    <w:rsid w:val="18033730"/>
    <w:rsid w:val="182D3889"/>
    <w:rsid w:val="18491F1B"/>
    <w:rsid w:val="184B19C1"/>
    <w:rsid w:val="187F1E28"/>
    <w:rsid w:val="188D4F7A"/>
    <w:rsid w:val="18B35C28"/>
    <w:rsid w:val="18EF50D1"/>
    <w:rsid w:val="19437E9C"/>
    <w:rsid w:val="197E4753"/>
    <w:rsid w:val="198B77EE"/>
    <w:rsid w:val="19C630ED"/>
    <w:rsid w:val="19C76DC1"/>
    <w:rsid w:val="19DB18FE"/>
    <w:rsid w:val="1A125C5A"/>
    <w:rsid w:val="1A2533B1"/>
    <w:rsid w:val="1A2B6426"/>
    <w:rsid w:val="1A565D8A"/>
    <w:rsid w:val="1A86037C"/>
    <w:rsid w:val="1A9770A6"/>
    <w:rsid w:val="1A977635"/>
    <w:rsid w:val="1ABA053C"/>
    <w:rsid w:val="1AC6550E"/>
    <w:rsid w:val="1AF70673"/>
    <w:rsid w:val="1AFB769E"/>
    <w:rsid w:val="1B04694D"/>
    <w:rsid w:val="1B131630"/>
    <w:rsid w:val="1B1E13A4"/>
    <w:rsid w:val="1B525F0F"/>
    <w:rsid w:val="1B73014B"/>
    <w:rsid w:val="1BF877D1"/>
    <w:rsid w:val="1C224837"/>
    <w:rsid w:val="1C327D15"/>
    <w:rsid w:val="1C9417E4"/>
    <w:rsid w:val="1CF37F1E"/>
    <w:rsid w:val="1D551A79"/>
    <w:rsid w:val="1D5559B4"/>
    <w:rsid w:val="1D876DBF"/>
    <w:rsid w:val="1DA2552F"/>
    <w:rsid w:val="1DB13337"/>
    <w:rsid w:val="1DBD2B2D"/>
    <w:rsid w:val="1DCD6D38"/>
    <w:rsid w:val="1E0850F8"/>
    <w:rsid w:val="1E387DCD"/>
    <w:rsid w:val="1E7439E1"/>
    <w:rsid w:val="1EC80A70"/>
    <w:rsid w:val="1EFE7D85"/>
    <w:rsid w:val="1F17104E"/>
    <w:rsid w:val="1F175D86"/>
    <w:rsid w:val="1F460D14"/>
    <w:rsid w:val="1F51459D"/>
    <w:rsid w:val="1F6F7A22"/>
    <w:rsid w:val="1F723AC6"/>
    <w:rsid w:val="1F9A36B9"/>
    <w:rsid w:val="1FB276F5"/>
    <w:rsid w:val="1FC90831"/>
    <w:rsid w:val="1FD648F6"/>
    <w:rsid w:val="20052AA1"/>
    <w:rsid w:val="2056329D"/>
    <w:rsid w:val="20611D0E"/>
    <w:rsid w:val="20795B11"/>
    <w:rsid w:val="20AF151F"/>
    <w:rsid w:val="20B23386"/>
    <w:rsid w:val="20E16D08"/>
    <w:rsid w:val="2133612B"/>
    <w:rsid w:val="216A7D6E"/>
    <w:rsid w:val="216F62D8"/>
    <w:rsid w:val="2176421D"/>
    <w:rsid w:val="217B4A99"/>
    <w:rsid w:val="21885A20"/>
    <w:rsid w:val="22335185"/>
    <w:rsid w:val="22385B99"/>
    <w:rsid w:val="22586DF5"/>
    <w:rsid w:val="2261210F"/>
    <w:rsid w:val="227F45EC"/>
    <w:rsid w:val="22880355"/>
    <w:rsid w:val="229638B0"/>
    <w:rsid w:val="229D4A85"/>
    <w:rsid w:val="22C81F36"/>
    <w:rsid w:val="22E018AA"/>
    <w:rsid w:val="22F63289"/>
    <w:rsid w:val="23134AA1"/>
    <w:rsid w:val="231F63EE"/>
    <w:rsid w:val="23277592"/>
    <w:rsid w:val="233A44B2"/>
    <w:rsid w:val="23505986"/>
    <w:rsid w:val="235D3F31"/>
    <w:rsid w:val="237E345D"/>
    <w:rsid w:val="23E407B9"/>
    <w:rsid w:val="242655FB"/>
    <w:rsid w:val="24290295"/>
    <w:rsid w:val="244E1971"/>
    <w:rsid w:val="24A9084B"/>
    <w:rsid w:val="24C41137"/>
    <w:rsid w:val="251B2BF5"/>
    <w:rsid w:val="253343BA"/>
    <w:rsid w:val="253C4A71"/>
    <w:rsid w:val="25475CC6"/>
    <w:rsid w:val="255160CE"/>
    <w:rsid w:val="2556094D"/>
    <w:rsid w:val="257A2395"/>
    <w:rsid w:val="25825548"/>
    <w:rsid w:val="25B90FC9"/>
    <w:rsid w:val="25B96FB2"/>
    <w:rsid w:val="25BC02BA"/>
    <w:rsid w:val="25CD2550"/>
    <w:rsid w:val="26191F0D"/>
    <w:rsid w:val="2674065C"/>
    <w:rsid w:val="26965BE5"/>
    <w:rsid w:val="26982B2A"/>
    <w:rsid w:val="26CF7641"/>
    <w:rsid w:val="26E929B0"/>
    <w:rsid w:val="27247391"/>
    <w:rsid w:val="27E622B9"/>
    <w:rsid w:val="28017ADF"/>
    <w:rsid w:val="280F6358"/>
    <w:rsid w:val="2823687C"/>
    <w:rsid w:val="287A1BAB"/>
    <w:rsid w:val="28924AE3"/>
    <w:rsid w:val="2895715D"/>
    <w:rsid w:val="289801CB"/>
    <w:rsid w:val="28FB7B25"/>
    <w:rsid w:val="29084217"/>
    <w:rsid w:val="295D6810"/>
    <w:rsid w:val="29763310"/>
    <w:rsid w:val="29844183"/>
    <w:rsid w:val="29B14C0C"/>
    <w:rsid w:val="29CF01C8"/>
    <w:rsid w:val="29D60A75"/>
    <w:rsid w:val="29F9207C"/>
    <w:rsid w:val="2A013DC8"/>
    <w:rsid w:val="2A174707"/>
    <w:rsid w:val="2A3675C6"/>
    <w:rsid w:val="2A4F100E"/>
    <w:rsid w:val="2A646E80"/>
    <w:rsid w:val="2AA90E7C"/>
    <w:rsid w:val="2AD85C54"/>
    <w:rsid w:val="2B245626"/>
    <w:rsid w:val="2B2C1B81"/>
    <w:rsid w:val="2B490F99"/>
    <w:rsid w:val="2B4F407E"/>
    <w:rsid w:val="2B8742F0"/>
    <w:rsid w:val="2B8A74A4"/>
    <w:rsid w:val="2BF6600E"/>
    <w:rsid w:val="2C27406F"/>
    <w:rsid w:val="2C2B1591"/>
    <w:rsid w:val="2C80451A"/>
    <w:rsid w:val="2C845827"/>
    <w:rsid w:val="2C8B5877"/>
    <w:rsid w:val="2C970CD3"/>
    <w:rsid w:val="2C99366E"/>
    <w:rsid w:val="2CD43A9E"/>
    <w:rsid w:val="2CE134E1"/>
    <w:rsid w:val="2CE4511D"/>
    <w:rsid w:val="2D032492"/>
    <w:rsid w:val="2D1F46E2"/>
    <w:rsid w:val="2D2B53E8"/>
    <w:rsid w:val="2D46523B"/>
    <w:rsid w:val="2D797247"/>
    <w:rsid w:val="2D805BE8"/>
    <w:rsid w:val="2DE02F0E"/>
    <w:rsid w:val="2DEB14C6"/>
    <w:rsid w:val="2DFB5540"/>
    <w:rsid w:val="2E26598C"/>
    <w:rsid w:val="2E30352F"/>
    <w:rsid w:val="2E3563FE"/>
    <w:rsid w:val="2E530A3B"/>
    <w:rsid w:val="2E617687"/>
    <w:rsid w:val="2ED71745"/>
    <w:rsid w:val="2ED83C04"/>
    <w:rsid w:val="2F2723FF"/>
    <w:rsid w:val="2F3142AE"/>
    <w:rsid w:val="2F811DA2"/>
    <w:rsid w:val="2F8D547B"/>
    <w:rsid w:val="2F9F7792"/>
    <w:rsid w:val="2FFB25C5"/>
    <w:rsid w:val="30001C0A"/>
    <w:rsid w:val="30143EB1"/>
    <w:rsid w:val="303D2CC1"/>
    <w:rsid w:val="303E4E2D"/>
    <w:rsid w:val="3067798D"/>
    <w:rsid w:val="30AD3114"/>
    <w:rsid w:val="30B410CD"/>
    <w:rsid w:val="30DF129D"/>
    <w:rsid w:val="30E77FED"/>
    <w:rsid w:val="30F81295"/>
    <w:rsid w:val="312F3EEC"/>
    <w:rsid w:val="31474195"/>
    <w:rsid w:val="31B200B2"/>
    <w:rsid w:val="31B87C8F"/>
    <w:rsid w:val="31BC251A"/>
    <w:rsid w:val="31ED56A0"/>
    <w:rsid w:val="32264E7F"/>
    <w:rsid w:val="325F3F6B"/>
    <w:rsid w:val="32865B36"/>
    <w:rsid w:val="329C4B8B"/>
    <w:rsid w:val="33091CC4"/>
    <w:rsid w:val="33337639"/>
    <w:rsid w:val="33446EA2"/>
    <w:rsid w:val="334F552F"/>
    <w:rsid w:val="33592622"/>
    <w:rsid w:val="335F2FA8"/>
    <w:rsid w:val="337362F0"/>
    <w:rsid w:val="33815CBF"/>
    <w:rsid w:val="3391158F"/>
    <w:rsid w:val="33962FF3"/>
    <w:rsid w:val="33AD2EF5"/>
    <w:rsid w:val="33B54410"/>
    <w:rsid w:val="33E613F7"/>
    <w:rsid w:val="34265714"/>
    <w:rsid w:val="34316A8E"/>
    <w:rsid w:val="344A50C2"/>
    <w:rsid w:val="346F6F23"/>
    <w:rsid w:val="34B416ED"/>
    <w:rsid w:val="34C73AE4"/>
    <w:rsid w:val="34E63CEE"/>
    <w:rsid w:val="3505786F"/>
    <w:rsid w:val="350C751E"/>
    <w:rsid w:val="350D312B"/>
    <w:rsid w:val="351B0868"/>
    <w:rsid w:val="353144CB"/>
    <w:rsid w:val="354A2BB3"/>
    <w:rsid w:val="357A6227"/>
    <w:rsid w:val="358E5CA7"/>
    <w:rsid w:val="35A07518"/>
    <w:rsid w:val="35AC1D7A"/>
    <w:rsid w:val="35AF4AF5"/>
    <w:rsid w:val="360A5BF9"/>
    <w:rsid w:val="36116125"/>
    <w:rsid w:val="36221C05"/>
    <w:rsid w:val="363A3B4F"/>
    <w:rsid w:val="364D615E"/>
    <w:rsid w:val="366E2EA8"/>
    <w:rsid w:val="369164E9"/>
    <w:rsid w:val="373804ED"/>
    <w:rsid w:val="375C0207"/>
    <w:rsid w:val="37B75E14"/>
    <w:rsid w:val="37E27868"/>
    <w:rsid w:val="380137A5"/>
    <w:rsid w:val="38156E2A"/>
    <w:rsid w:val="38524FFB"/>
    <w:rsid w:val="386F18F2"/>
    <w:rsid w:val="38702BF4"/>
    <w:rsid w:val="38B17CCE"/>
    <w:rsid w:val="38B27053"/>
    <w:rsid w:val="38B91CF1"/>
    <w:rsid w:val="38D94DD5"/>
    <w:rsid w:val="38DD4B38"/>
    <w:rsid w:val="38E42B80"/>
    <w:rsid w:val="38FA49EB"/>
    <w:rsid w:val="39243B3B"/>
    <w:rsid w:val="39A433D9"/>
    <w:rsid w:val="39BF3377"/>
    <w:rsid w:val="39CB53A0"/>
    <w:rsid w:val="39DE7B47"/>
    <w:rsid w:val="39FB30CF"/>
    <w:rsid w:val="3A037BCA"/>
    <w:rsid w:val="3A0D4788"/>
    <w:rsid w:val="3A1637D2"/>
    <w:rsid w:val="3A476D28"/>
    <w:rsid w:val="3A692782"/>
    <w:rsid w:val="3A7F5964"/>
    <w:rsid w:val="3A8305F1"/>
    <w:rsid w:val="3A8B5B01"/>
    <w:rsid w:val="3AA966EE"/>
    <w:rsid w:val="3AAD1386"/>
    <w:rsid w:val="3AC554B1"/>
    <w:rsid w:val="3AE8709F"/>
    <w:rsid w:val="3AEB58D1"/>
    <w:rsid w:val="3B1C5AC3"/>
    <w:rsid w:val="3B3D7089"/>
    <w:rsid w:val="3B4C2F0A"/>
    <w:rsid w:val="3B587535"/>
    <w:rsid w:val="3B9E5858"/>
    <w:rsid w:val="3BBD215C"/>
    <w:rsid w:val="3BDF1BAD"/>
    <w:rsid w:val="3BFC281C"/>
    <w:rsid w:val="3C1D5373"/>
    <w:rsid w:val="3C303E13"/>
    <w:rsid w:val="3C36605F"/>
    <w:rsid w:val="3C3E105D"/>
    <w:rsid w:val="3C430A0F"/>
    <w:rsid w:val="3CDE36E0"/>
    <w:rsid w:val="3CEE24B3"/>
    <w:rsid w:val="3D1B66CC"/>
    <w:rsid w:val="3DB64AA5"/>
    <w:rsid w:val="3DBF4B06"/>
    <w:rsid w:val="3DD21067"/>
    <w:rsid w:val="3DE47E56"/>
    <w:rsid w:val="3E0A3D78"/>
    <w:rsid w:val="3E1C5A30"/>
    <w:rsid w:val="3E483C21"/>
    <w:rsid w:val="3E8E79D5"/>
    <w:rsid w:val="3E9C12DB"/>
    <w:rsid w:val="3EAF0F44"/>
    <w:rsid w:val="3EC0456A"/>
    <w:rsid w:val="3EC2190D"/>
    <w:rsid w:val="3F184167"/>
    <w:rsid w:val="3F5624AB"/>
    <w:rsid w:val="3F9B0AC0"/>
    <w:rsid w:val="3F9C0709"/>
    <w:rsid w:val="3FBB3E98"/>
    <w:rsid w:val="3FDC1FAC"/>
    <w:rsid w:val="402D78A8"/>
    <w:rsid w:val="406009C7"/>
    <w:rsid w:val="406E17B2"/>
    <w:rsid w:val="40755EE2"/>
    <w:rsid w:val="40B42CEB"/>
    <w:rsid w:val="411B29F7"/>
    <w:rsid w:val="414922E1"/>
    <w:rsid w:val="415948BC"/>
    <w:rsid w:val="418B12F5"/>
    <w:rsid w:val="418C40C5"/>
    <w:rsid w:val="41A7213D"/>
    <w:rsid w:val="41FB3559"/>
    <w:rsid w:val="42030B10"/>
    <w:rsid w:val="4211083B"/>
    <w:rsid w:val="421B4C2D"/>
    <w:rsid w:val="429D5995"/>
    <w:rsid w:val="42A202E7"/>
    <w:rsid w:val="42D176B7"/>
    <w:rsid w:val="430662D2"/>
    <w:rsid w:val="43436CCF"/>
    <w:rsid w:val="43513E94"/>
    <w:rsid w:val="43595191"/>
    <w:rsid w:val="437D1054"/>
    <w:rsid w:val="4395189D"/>
    <w:rsid w:val="43B00D63"/>
    <w:rsid w:val="43BF449C"/>
    <w:rsid w:val="43C84364"/>
    <w:rsid w:val="43D674C5"/>
    <w:rsid w:val="43DB09BE"/>
    <w:rsid w:val="43DE5395"/>
    <w:rsid w:val="43F66208"/>
    <w:rsid w:val="44164062"/>
    <w:rsid w:val="44476A64"/>
    <w:rsid w:val="4449553C"/>
    <w:rsid w:val="445059DF"/>
    <w:rsid w:val="445350CD"/>
    <w:rsid w:val="449601CF"/>
    <w:rsid w:val="44A349A0"/>
    <w:rsid w:val="44AC1B6F"/>
    <w:rsid w:val="44C05412"/>
    <w:rsid w:val="44E25554"/>
    <w:rsid w:val="44E727FB"/>
    <w:rsid w:val="45070B2C"/>
    <w:rsid w:val="45561110"/>
    <w:rsid w:val="455A550F"/>
    <w:rsid w:val="45655EE4"/>
    <w:rsid w:val="459169CA"/>
    <w:rsid w:val="459A0089"/>
    <w:rsid w:val="459F4E2B"/>
    <w:rsid w:val="45A766FD"/>
    <w:rsid w:val="460B55AD"/>
    <w:rsid w:val="461C3B64"/>
    <w:rsid w:val="46367E4A"/>
    <w:rsid w:val="464D3067"/>
    <w:rsid w:val="46F37769"/>
    <w:rsid w:val="473006B8"/>
    <w:rsid w:val="47357DD3"/>
    <w:rsid w:val="473A3D2A"/>
    <w:rsid w:val="477B7C1F"/>
    <w:rsid w:val="478028AE"/>
    <w:rsid w:val="47D171C6"/>
    <w:rsid w:val="47DF6AAC"/>
    <w:rsid w:val="47F51B56"/>
    <w:rsid w:val="484552AF"/>
    <w:rsid w:val="485F4731"/>
    <w:rsid w:val="4869116B"/>
    <w:rsid w:val="4886171A"/>
    <w:rsid w:val="489C44D5"/>
    <w:rsid w:val="489E0950"/>
    <w:rsid w:val="48B8749B"/>
    <w:rsid w:val="48C13E78"/>
    <w:rsid w:val="48EB6B00"/>
    <w:rsid w:val="491241F6"/>
    <w:rsid w:val="495F078E"/>
    <w:rsid w:val="49760683"/>
    <w:rsid w:val="49A61C09"/>
    <w:rsid w:val="49AD05F5"/>
    <w:rsid w:val="49D86A3A"/>
    <w:rsid w:val="49E311FD"/>
    <w:rsid w:val="49E4763C"/>
    <w:rsid w:val="4A2C0B2F"/>
    <w:rsid w:val="4A4B5A71"/>
    <w:rsid w:val="4A6A7252"/>
    <w:rsid w:val="4A751EBB"/>
    <w:rsid w:val="4A777A6B"/>
    <w:rsid w:val="4A837182"/>
    <w:rsid w:val="4ABC2931"/>
    <w:rsid w:val="4AD83F38"/>
    <w:rsid w:val="4AE47B2C"/>
    <w:rsid w:val="4AF11BD1"/>
    <w:rsid w:val="4B236BBB"/>
    <w:rsid w:val="4B66795F"/>
    <w:rsid w:val="4B84117A"/>
    <w:rsid w:val="4BA00297"/>
    <w:rsid w:val="4BAC5959"/>
    <w:rsid w:val="4BC76543"/>
    <w:rsid w:val="4BCA3F94"/>
    <w:rsid w:val="4BE72F27"/>
    <w:rsid w:val="4BF21A75"/>
    <w:rsid w:val="4C4415DC"/>
    <w:rsid w:val="4C4E6EF6"/>
    <w:rsid w:val="4C82022F"/>
    <w:rsid w:val="4CB85C94"/>
    <w:rsid w:val="4CFB30E2"/>
    <w:rsid w:val="4D3A0944"/>
    <w:rsid w:val="4D542571"/>
    <w:rsid w:val="4DB315B6"/>
    <w:rsid w:val="4DCE6238"/>
    <w:rsid w:val="4E0A0B68"/>
    <w:rsid w:val="4E1E07AE"/>
    <w:rsid w:val="4E315EA7"/>
    <w:rsid w:val="4E4B1EA3"/>
    <w:rsid w:val="4E7054D4"/>
    <w:rsid w:val="4E8C7034"/>
    <w:rsid w:val="4F3103DF"/>
    <w:rsid w:val="4F323C83"/>
    <w:rsid w:val="4F7B1FD0"/>
    <w:rsid w:val="4F7F215C"/>
    <w:rsid w:val="4F9B03E6"/>
    <w:rsid w:val="4FA65F7C"/>
    <w:rsid w:val="4FC727CF"/>
    <w:rsid w:val="4FF51701"/>
    <w:rsid w:val="4FF60D80"/>
    <w:rsid w:val="4FF80BFB"/>
    <w:rsid w:val="50104C69"/>
    <w:rsid w:val="505A2526"/>
    <w:rsid w:val="50AE289B"/>
    <w:rsid w:val="51106AAB"/>
    <w:rsid w:val="51164EC5"/>
    <w:rsid w:val="516B367A"/>
    <w:rsid w:val="519A6A1D"/>
    <w:rsid w:val="51A1111D"/>
    <w:rsid w:val="51CB517E"/>
    <w:rsid w:val="51EA4868"/>
    <w:rsid w:val="52301DA9"/>
    <w:rsid w:val="52576BE6"/>
    <w:rsid w:val="528965A9"/>
    <w:rsid w:val="52C00858"/>
    <w:rsid w:val="52C2248F"/>
    <w:rsid w:val="52D07299"/>
    <w:rsid w:val="530C4D26"/>
    <w:rsid w:val="53602AC6"/>
    <w:rsid w:val="537E7F5D"/>
    <w:rsid w:val="53C5723C"/>
    <w:rsid w:val="53C5776A"/>
    <w:rsid w:val="540C3F04"/>
    <w:rsid w:val="54371B1B"/>
    <w:rsid w:val="54574766"/>
    <w:rsid w:val="545818F4"/>
    <w:rsid w:val="54F97095"/>
    <w:rsid w:val="550454EA"/>
    <w:rsid w:val="55211939"/>
    <w:rsid w:val="55246E25"/>
    <w:rsid w:val="553560A7"/>
    <w:rsid w:val="55415924"/>
    <w:rsid w:val="554B5F61"/>
    <w:rsid w:val="55635015"/>
    <w:rsid w:val="55647CC8"/>
    <w:rsid w:val="55724889"/>
    <w:rsid w:val="55AD1DCD"/>
    <w:rsid w:val="55C16648"/>
    <w:rsid w:val="55E41500"/>
    <w:rsid w:val="56093471"/>
    <w:rsid w:val="562D7609"/>
    <w:rsid w:val="565D0E04"/>
    <w:rsid w:val="566A386C"/>
    <w:rsid w:val="56887079"/>
    <w:rsid w:val="56A35160"/>
    <w:rsid w:val="56A55D34"/>
    <w:rsid w:val="56BA7016"/>
    <w:rsid w:val="56BE4112"/>
    <w:rsid w:val="56C7309C"/>
    <w:rsid w:val="571733C6"/>
    <w:rsid w:val="571C0069"/>
    <w:rsid w:val="5734314E"/>
    <w:rsid w:val="573608C6"/>
    <w:rsid w:val="5747116E"/>
    <w:rsid w:val="57553BEB"/>
    <w:rsid w:val="575E7E48"/>
    <w:rsid w:val="57A33C00"/>
    <w:rsid w:val="57A92AD0"/>
    <w:rsid w:val="57BA145F"/>
    <w:rsid w:val="57C905A6"/>
    <w:rsid w:val="57E70888"/>
    <w:rsid w:val="57F4093D"/>
    <w:rsid w:val="582164F0"/>
    <w:rsid w:val="583E1727"/>
    <w:rsid w:val="585D1085"/>
    <w:rsid w:val="587E2B01"/>
    <w:rsid w:val="58A90B95"/>
    <w:rsid w:val="58AF0EB0"/>
    <w:rsid w:val="58B922BE"/>
    <w:rsid w:val="58C93A11"/>
    <w:rsid w:val="58EB2F8A"/>
    <w:rsid w:val="58EE73AF"/>
    <w:rsid w:val="59136284"/>
    <w:rsid w:val="59236663"/>
    <w:rsid w:val="593C5071"/>
    <w:rsid w:val="597F6CFE"/>
    <w:rsid w:val="598455B3"/>
    <w:rsid w:val="598E393A"/>
    <w:rsid w:val="5A090F02"/>
    <w:rsid w:val="5A1D1AA6"/>
    <w:rsid w:val="5A2D2964"/>
    <w:rsid w:val="5AAD0483"/>
    <w:rsid w:val="5B311FFA"/>
    <w:rsid w:val="5B625CC5"/>
    <w:rsid w:val="5BAC28BF"/>
    <w:rsid w:val="5BE76684"/>
    <w:rsid w:val="5C09228D"/>
    <w:rsid w:val="5C4924A6"/>
    <w:rsid w:val="5C607316"/>
    <w:rsid w:val="5CEE0813"/>
    <w:rsid w:val="5D1D0284"/>
    <w:rsid w:val="5D26574A"/>
    <w:rsid w:val="5D397033"/>
    <w:rsid w:val="5D4667E5"/>
    <w:rsid w:val="5D6D507C"/>
    <w:rsid w:val="5DDB4AD6"/>
    <w:rsid w:val="5E0141B5"/>
    <w:rsid w:val="5E657CFE"/>
    <w:rsid w:val="5E7B41D9"/>
    <w:rsid w:val="5E976AE1"/>
    <w:rsid w:val="5ED50C58"/>
    <w:rsid w:val="5EFF315F"/>
    <w:rsid w:val="5F130415"/>
    <w:rsid w:val="5F20318A"/>
    <w:rsid w:val="5F365692"/>
    <w:rsid w:val="5F436FDA"/>
    <w:rsid w:val="5F46087C"/>
    <w:rsid w:val="5F695437"/>
    <w:rsid w:val="5FCC441C"/>
    <w:rsid w:val="6013499C"/>
    <w:rsid w:val="603A5FA7"/>
    <w:rsid w:val="60473EA4"/>
    <w:rsid w:val="60622D78"/>
    <w:rsid w:val="609F5300"/>
    <w:rsid w:val="60D218DD"/>
    <w:rsid w:val="60DD04EC"/>
    <w:rsid w:val="60E37E6D"/>
    <w:rsid w:val="60F45C19"/>
    <w:rsid w:val="60FA4BF8"/>
    <w:rsid w:val="61372746"/>
    <w:rsid w:val="613F3073"/>
    <w:rsid w:val="616F0162"/>
    <w:rsid w:val="617C2C4D"/>
    <w:rsid w:val="618162DB"/>
    <w:rsid w:val="61C05CB6"/>
    <w:rsid w:val="6205308E"/>
    <w:rsid w:val="622C18D2"/>
    <w:rsid w:val="622D186B"/>
    <w:rsid w:val="623F5399"/>
    <w:rsid w:val="625E43DE"/>
    <w:rsid w:val="626258E4"/>
    <w:rsid w:val="62823552"/>
    <w:rsid w:val="629A1518"/>
    <w:rsid w:val="62CA46AF"/>
    <w:rsid w:val="62CF349A"/>
    <w:rsid w:val="62ED7647"/>
    <w:rsid w:val="634A0645"/>
    <w:rsid w:val="636E3DED"/>
    <w:rsid w:val="639543D0"/>
    <w:rsid w:val="63DC5DBF"/>
    <w:rsid w:val="64213BDD"/>
    <w:rsid w:val="64346A01"/>
    <w:rsid w:val="645E2D84"/>
    <w:rsid w:val="645F471C"/>
    <w:rsid w:val="64881420"/>
    <w:rsid w:val="64961DFF"/>
    <w:rsid w:val="64B85CA1"/>
    <w:rsid w:val="64C1215F"/>
    <w:rsid w:val="64F358C1"/>
    <w:rsid w:val="64FF5F47"/>
    <w:rsid w:val="65046CF4"/>
    <w:rsid w:val="65585A5A"/>
    <w:rsid w:val="656E4926"/>
    <w:rsid w:val="6584385A"/>
    <w:rsid w:val="65B473B0"/>
    <w:rsid w:val="662E203E"/>
    <w:rsid w:val="666816D0"/>
    <w:rsid w:val="66736CD3"/>
    <w:rsid w:val="66741C2E"/>
    <w:rsid w:val="66906E95"/>
    <w:rsid w:val="66A26523"/>
    <w:rsid w:val="66AF71C1"/>
    <w:rsid w:val="66CE1E41"/>
    <w:rsid w:val="66DB2370"/>
    <w:rsid w:val="66E27C11"/>
    <w:rsid w:val="67417528"/>
    <w:rsid w:val="67666FE0"/>
    <w:rsid w:val="676B7E58"/>
    <w:rsid w:val="679B2C40"/>
    <w:rsid w:val="67D85965"/>
    <w:rsid w:val="67F16520"/>
    <w:rsid w:val="68000AAB"/>
    <w:rsid w:val="68295ACF"/>
    <w:rsid w:val="68333CF4"/>
    <w:rsid w:val="683528BC"/>
    <w:rsid w:val="683A7510"/>
    <w:rsid w:val="68600917"/>
    <w:rsid w:val="68A56C70"/>
    <w:rsid w:val="68AC29A6"/>
    <w:rsid w:val="691965E3"/>
    <w:rsid w:val="694F68DA"/>
    <w:rsid w:val="697D7A26"/>
    <w:rsid w:val="698B0720"/>
    <w:rsid w:val="699156AE"/>
    <w:rsid w:val="6993456B"/>
    <w:rsid w:val="69937234"/>
    <w:rsid w:val="69D763F0"/>
    <w:rsid w:val="69D876EE"/>
    <w:rsid w:val="69E12DD4"/>
    <w:rsid w:val="6A2E6813"/>
    <w:rsid w:val="6A38733B"/>
    <w:rsid w:val="6A3D4E82"/>
    <w:rsid w:val="6A7F0C7E"/>
    <w:rsid w:val="6AAC5435"/>
    <w:rsid w:val="6AB34B1E"/>
    <w:rsid w:val="6AF117EA"/>
    <w:rsid w:val="6B6D589A"/>
    <w:rsid w:val="6B723501"/>
    <w:rsid w:val="6BA12159"/>
    <w:rsid w:val="6BA43CCA"/>
    <w:rsid w:val="6BDE5C7F"/>
    <w:rsid w:val="6C4F466D"/>
    <w:rsid w:val="6C58678C"/>
    <w:rsid w:val="6D231E9C"/>
    <w:rsid w:val="6D2A24D3"/>
    <w:rsid w:val="6D3A47BC"/>
    <w:rsid w:val="6D8C5F2C"/>
    <w:rsid w:val="6D8D33B9"/>
    <w:rsid w:val="6DAA0BFC"/>
    <w:rsid w:val="6DB74AA1"/>
    <w:rsid w:val="6E090407"/>
    <w:rsid w:val="6E3A0CEB"/>
    <w:rsid w:val="6E4522F2"/>
    <w:rsid w:val="6E817E85"/>
    <w:rsid w:val="6EC2223F"/>
    <w:rsid w:val="6EE7141B"/>
    <w:rsid w:val="6EFC797E"/>
    <w:rsid w:val="6F085543"/>
    <w:rsid w:val="6F1D126B"/>
    <w:rsid w:val="6F2065A1"/>
    <w:rsid w:val="6F295068"/>
    <w:rsid w:val="6FD12E23"/>
    <w:rsid w:val="6FE94145"/>
    <w:rsid w:val="6FE97D64"/>
    <w:rsid w:val="701809B3"/>
    <w:rsid w:val="702920CE"/>
    <w:rsid w:val="703D13EE"/>
    <w:rsid w:val="70436B19"/>
    <w:rsid w:val="705B6108"/>
    <w:rsid w:val="70842CFA"/>
    <w:rsid w:val="708F27D8"/>
    <w:rsid w:val="70CF5929"/>
    <w:rsid w:val="714062B6"/>
    <w:rsid w:val="71443CD6"/>
    <w:rsid w:val="71591785"/>
    <w:rsid w:val="71697A56"/>
    <w:rsid w:val="716E6E3B"/>
    <w:rsid w:val="719707D5"/>
    <w:rsid w:val="71DA45FF"/>
    <w:rsid w:val="71DF0F6A"/>
    <w:rsid w:val="72712C3C"/>
    <w:rsid w:val="72AE648B"/>
    <w:rsid w:val="72DC531A"/>
    <w:rsid w:val="73263B94"/>
    <w:rsid w:val="7335170E"/>
    <w:rsid w:val="73593D3E"/>
    <w:rsid w:val="737D4F4E"/>
    <w:rsid w:val="73885ADC"/>
    <w:rsid w:val="73967B38"/>
    <w:rsid w:val="74480518"/>
    <w:rsid w:val="749A5E1A"/>
    <w:rsid w:val="74E72232"/>
    <w:rsid w:val="75072A87"/>
    <w:rsid w:val="75113C7C"/>
    <w:rsid w:val="75383263"/>
    <w:rsid w:val="75862FD0"/>
    <w:rsid w:val="759F5A0D"/>
    <w:rsid w:val="75BE0B91"/>
    <w:rsid w:val="75ED6200"/>
    <w:rsid w:val="75F00DFC"/>
    <w:rsid w:val="761A1C62"/>
    <w:rsid w:val="768F20BD"/>
    <w:rsid w:val="77047100"/>
    <w:rsid w:val="771167BE"/>
    <w:rsid w:val="7733087F"/>
    <w:rsid w:val="77546B4F"/>
    <w:rsid w:val="7798104C"/>
    <w:rsid w:val="77B247C0"/>
    <w:rsid w:val="77BB7D8E"/>
    <w:rsid w:val="77F37FFE"/>
    <w:rsid w:val="77F74F6D"/>
    <w:rsid w:val="78146F2E"/>
    <w:rsid w:val="781A4CC3"/>
    <w:rsid w:val="781C5F84"/>
    <w:rsid w:val="78A6683E"/>
    <w:rsid w:val="78A76067"/>
    <w:rsid w:val="791C0C85"/>
    <w:rsid w:val="791D2D75"/>
    <w:rsid w:val="794A3A1D"/>
    <w:rsid w:val="797C7240"/>
    <w:rsid w:val="79E83D93"/>
    <w:rsid w:val="7A0F6A9B"/>
    <w:rsid w:val="7A2B306F"/>
    <w:rsid w:val="7A540BFA"/>
    <w:rsid w:val="7A705A11"/>
    <w:rsid w:val="7A710AAF"/>
    <w:rsid w:val="7A7E2BD6"/>
    <w:rsid w:val="7A893449"/>
    <w:rsid w:val="7AB07B50"/>
    <w:rsid w:val="7B173BDB"/>
    <w:rsid w:val="7B4B1425"/>
    <w:rsid w:val="7B692672"/>
    <w:rsid w:val="7B706597"/>
    <w:rsid w:val="7B7326E6"/>
    <w:rsid w:val="7BA3346A"/>
    <w:rsid w:val="7BB03E0C"/>
    <w:rsid w:val="7BB82A78"/>
    <w:rsid w:val="7BC71B24"/>
    <w:rsid w:val="7BF81460"/>
    <w:rsid w:val="7C0B1097"/>
    <w:rsid w:val="7C231C10"/>
    <w:rsid w:val="7C7A0D33"/>
    <w:rsid w:val="7C8E6DF7"/>
    <w:rsid w:val="7CB17F1C"/>
    <w:rsid w:val="7CF80597"/>
    <w:rsid w:val="7CFA64F2"/>
    <w:rsid w:val="7D143B1A"/>
    <w:rsid w:val="7D1C6005"/>
    <w:rsid w:val="7D767A35"/>
    <w:rsid w:val="7D881FEE"/>
    <w:rsid w:val="7D923715"/>
    <w:rsid w:val="7DCE172C"/>
    <w:rsid w:val="7DF62A88"/>
    <w:rsid w:val="7E235190"/>
    <w:rsid w:val="7E2928C7"/>
    <w:rsid w:val="7E2D4FC5"/>
    <w:rsid w:val="7E4877CC"/>
    <w:rsid w:val="7E875417"/>
    <w:rsid w:val="7E922F18"/>
    <w:rsid w:val="7E993326"/>
    <w:rsid w:val="7ED756F6"/>
    <w:rsid w:val="7EEB3090"/>
    <w:rsid w:val="7EFA085D"/>
    <w:rsid w:val="7F1422D8"/>
    <w:rsid w:val="7F1D52F2"/>
    <w:rsid w:val="7F2B713B"/>
    <w:rsid w:val="7F3D4EC7"/>
    <w:rsid w:val="7F671FF2"/>
    <w:rsid w:val="7F750ACB"/>
    <w:rsid w:val="7F9955B4"/>
    <w:rsid w:val="7FB248C5"/>
    <w:rsid w:val="7FEF6698"/>
    <w:rsid w:val="7FFB51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15:docId w15:val="{9CCED101-C20E-4D6C-9595-F6D4CF7C4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qFormat="1"/>
    <w:lsdException w:name="index 3" w:qFormat="1"/>
    <w:lsdException w:name="index 4" w:qFormat="1"/>
    <w:lsdException w:name="index 5" w:qFormat="1"/>
    <w:lsdException w:name="index 6" w:qFormat="1"/>
    <w:lsdException w:name="index 7" w:qFormat="1"/>
    <w:lsdException w:name="index 8" w:qFormat="1"/>
    <w:lsdException w:name="index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qFormat="1"/>
    <w:lsdException w:name="header" w:qFormat="1"/>
    <w:lsdException w:name="footer" w:qFormat="1"/>
    <w:lsdException w:name="index heading" w:qFormat="1"/>
    <w:lsdException w:name="caption" w:qFormat="1"/>
    <w:lsdException w:name="table of figures" w:qFormat="1"/>
    <w:lsdException w:name="envelope address" w:qFormat="1"/>
    <w:lsdException w:name="envelope return" w:qFormat="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qFormat="1"/>
    <w:lsdException w:name="table of authorities" w:qFormat="1"/>
    <w:lsdException w:name="macro" w:qFormat="1"/>
    <w:lsdException w:name="toa heading" w:qFormat="1"/>
    <w:lsdException w:name="List" w:qFormat="1"/>
    <w:lsdException w:name="List Bullet" w:qFormat="1"/>
    <w:lsdException w:name="List Number" w:qFormat="1"/>
    <w:lsdException w:name="List 2" w:qFormat="1"/>
    <w:lsdException w:name="List 3" w:qFormat="1"/>
    <w:lsdException w:name="List 4" w:qFormat="1"/>
    <w:lsdException w:name="List 5" w:qFormat="1"/>
    <w:lsdException w:name="List Bullet 2" w:qFormat="1"/>
    <w:lsdException w:name="List Bullet 3" w:qFormat="1"/>
    <w:lsdException w:name="List Bullet 4" w:qFormat="1"/>
    <w:lsdException w:name="List Bullet 5" w:qFormat="1"/>
    <w:lsdException w:name="List Number 2" w:qFormat="1"/>
    <w:lsdException w:name="List Number 3" w:qFormat="1"/>
    <w:lsdException w:name="List Number 4" w:qFormat="1"/>
    <w:lsdException w:name="List Number 5" w:qFormat="1"/>
    <w:lsdException w:name="Title" w:qFormat="1"/>
    <w:lsdException w:name="Closing" w:qFormat="1"/>
    <w:lsdException w:name="Signatur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List Continue 3" w:qFormat="1"/>
    <w:lsdException w:name="List Continue 4" w:qFormat="1"/>
    <w:lsdException w:name="List Continue 5" w:qFormat="1"/>
    <w:lsdException w:name="Message Header" w:qFormat="1"/>
    <w:lsdException w:name="Subtitle" w:qFormat="1"/>
    <w:lsdException w:name="Salutation" w:qFormat="1"/>
    <w:lsdException w:name="Date" w:qFormat="1"/>
    <w:lsdException w:name="Body Text First Indent" w:qFormat="1"/>
    <w:lsdException w:name="Body Text First Indent 2" w:qFormat="1"/>
    <w:lsdException w:name="Note Heading" w:qFormat="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semiHidden="1" w:unhideWhenUsed="1" w:qFormat="1"/>
    <w:lsdException w:name="Strong" w:uiPriority="22" w:qFormat="1"/>
    <w:lsdException w:name="Emphasis" w:qFormat="1"/>
    <w:lsdException w:name="Document Map" w:qFormat="1"/>
    <w:lsdException w:name="Plain Text" w:qFormat="1"/>
    <w:lsdException w:name="E-mail Signature" w:qFormat="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qFormat/>
    <w:pPr>
      <w:keepNext/>
      <w:keepLines/>
      <w:spacing w:before="260" w:after="260" w:line="413" w:lineRule="auto"/>
      <w:outlineLvl w:val="1"/>
    </w:pPr>
    <w:rPr>
      <w:sz w:val="28"/>
    </w:rPr>
  </w:style>
  <w:style w:type="paragraph" w:styleId="3">
    <w:name w:val="heading 3"/>
    <w:basedOn w:val="a"/>
    <w:next w:val="a"/>
    <w:qFormat/>
    <w:pPr>
      <w:keepNext/>
      <w:keepLines/>
      <w:spacing w:before="260" w:after="260" w:line="413" w:lineRule="auto"/>
      <w:outlineLvl w:val="2"/>
    </w:pPr>
    <w:rPr>
      <w:b/>
      <w:sz w:val="32"/>
    </w:rPr>
  </w:style>
  <w:style w:type="paragraph" w:styleId="4">
    <w:name w:val="heading 4"/>
    <w:basedOn w:val="a"/>
    <w:next w:val="a"/>
    <w:qFormat/>
    <w:pPr>
      <w:keepNext/>
      <w:keepLines/>
      <w:spacing w:before="280" w:after="290" w:line="372" w:lineRule="auto"/>
      <w:outlineLvl w:val="3"/>
    </w:pPr>
    <w:rPr>
      <w:rFonts w:ascii="Arial" w:eastAsia="黑体" w:hAnsi="Arial"/>
      <w:b/>
      <w:sz w:val="28"/>
    </w:rPr>
  </w:style>
  <w:style w:type="paragraph" w:styleId="5">
    <w:name w:val="heading 5"/>
    <w:basedOn w:val="a"/>
    <w:next w:val="a"/>
    <w:qFormat/>
    <w:pPr>
      <w:keepNext/>
      <w:keepLines/>
      <w:spacing w:before="280" w:after="290" w:line="372" w:lineRule="auto"/>
      <w:outlineLvl w:val="4"/>
    </w:pPr>
    <w:rPr>
      <w:b/>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rPr>
  </w:style>
  <w:style w:type="paragraph" w:styleId="7">
    <w:name w:val="heading 7"/>
    <w:basedOn w:val="a"/>
    <w:next w:val="a"/>
    <w:qFormat/>
    <w:pPr>
      <w:keepNext/>
      <w:keepLines/>
      <w:spacing w:before="240" w:after="64" w:line="317" w:lineRule="auto"/>
      <w:outlineLvl w:val="6"/>
    </w:pPr>
    <w:rPr>
      <w:b/>
      <w:sz w:val="24"/>
    </w:rPr>
  </w:style>
  <w:style w:type="paragraph" w:styleId="8">
    <w:name w:val="heading 8"/>
    <w:basedOn w:val="a"/>
    <w:next w:val="a"/>
    <w:qFormat/>
    <w:pPr>
      <w:keepNext/>
      <w:keepLines/>
      <w:spacing w:before="240" w:after="64" w:line="317" w:lineRule="auto"/>
      <w:outlineLvl w:val="7"/>
    </w:pPr>
    <w:rPr>
      <w:rFonts w:ascii="Arial" w:eastAsia="黑体" w:hAnsi="Arial"/>
      <w:sz w:val="24"/>
    </w:rPr>
  </w:style>
  <w:style w:type="paragraph" w:styleId="9">
    <w:name w:val="heading 9"/>
    <w:basedOn w:val="a"/>
    <w:next w:val="a"/>
    <w:qFormat/>
    <w:pPr>
      <w:keepNext/>
      <w:keepLines/>
      <w:spacing w:before="240" w:after="64" w:line="317" w:lineRule="auto"/>
      <w:outlineLvl w:val="8"/>
    </w:pPr>
    <w:rPr>
      <w:rFonts w:ascii="Arial" w:eastAsia="黑体"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macro"/>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kern w:val="2"/>
      <w:sz w:val="24"/>
    </w:rPr>
  </w:style>
  <w:style w:type="paragraph" w:styleId="30">
    <w:name w:val="List 3"/>
    <w:basedOn w:val="a"/>
    <w:qFormat/>
    <w:pPr>
      <w:ind w:leftChars="400" w:left="100" w:hangingChars="200" w:hanging="200"/>
    </w:pPr>
  </w:style>
  <w:style w:type="paragraph" w:styleId="70">
    <w:name w:val="toc 7"/>
    <w:basedOn w:val="a"/>
    <w:next w:val="a"/>
    <w:qFormat/>
    <w:pPr>
      <w:ind w:leftChars="1200" w:left="2520"/>
    </w:pPr>
  </w:style>
  <w:style w:type="paragraph" w:styleId="20">
    <w:name w:val="List Number 2"/>
    <w:basedOn w:val="a"/>
    <w:qFormat/>
    <w:pPr>
      <w:tabs>
        <w:tab w:val="left" w:pos="780"/>
      </w:tabs>
      <w:ind w:left="780" w:hanging="360"/>
    </w:pPr>
  </w:style>
  <w:style w:type="paragraph" w:styleId="a4">
    <w:name w:val="table of authorities"/>
    <w:basedOn w:val="a"/>
    <w:next w:val="a"/>
    <w:qFormat/>
    <w:pPr>
      <w:ind w:leftChars="200" w:left="420"/>
    </w:pPr>
  </w:style>
  <w:style w:type="paragraph" w:styleId="a5">
    <w:name w:val="Note Heading"/>
    <w:basedOn w:val="a"/>
    <w:next w:val="a"/>
    <w:qFormat/>
    <w:pPr>
      <w:jc w:val="center"/>
    </w:pPr>
  </w:style>
  <w:style w:type="paragraph" w:styleId="40">
    <w:name w:val="List Bullet 4"/>
    <w:basedOn w:val="a"/>
    <w:qFormat/>
    <w:pPr>
      <w:tabs>
        <w:tab w:val="left" w:pos="1620"/>
      </w:tabs>
      <w:ind w:left="1620" w:hanging="360"/>
    </w:pPr>
  </w:style>
  <w:style w:type="paragraph" w:styleId="80">
    <w:name w:val="index 8"/>
    <w:basedOn w:val="a"/>
    <w:next w:val="a"/>
    <w:qFormat/>
    <w:pPr>
      <w:ind w:leftChars="1400" w:left="1400"/>
    </w:pPr>
  </w:style>
  <w:style w:type="paragraph" w:styleId="a6">
    <w:name w:val="E-mail Signature"/>
    <w:basedOn w:val="a"/>
    <w:qFormat/>
  </w:style>
  <w:style w:type="paragraph" w:styleId="a7">
    <w:name w:val="List Number"/>
    <w:basedOn w:val="a"/>
    <w:qFormat/>
    <w:pPr>
      <w:tabs>
        <w:tab w:val="left" w:pos="360"/>
      </w:tabs>
      <w:ind w:left="360" w:hanging="360"/>
    </w:pPr>
  </w:style>
  <w:style w:type="paragraph" w:styleId="a8">
    <w:name w:val="Normal Indent"/>
    <w:basedOn w:val="a"/>
    <w:qFormat/>
    <w:pPr>
      <w:ind w:firstLineChars="200" w:firstLine="420"/>
    </w:pPr>
  </w:style>
  <w:style w:type="paragraph" w:styleId="a9">
    <w:name w:val="caption"/>
    <w:basedOn w:val="a"/>
    <w:next w:val="a"/>
    <w:qFormat/>
    <w:rPr>
      <w:rFonts w:ascii="Arial" w:eastAsia="黑体" w:hAnsi="Arial"/>
      <w:sz w:val="20"/>
    </w:rPr>
  </w:style>
  <w:style w:type="paragraph" w:styleId="50">
    <w:name w:val="index 5"/>
    <w:basedOn w:val="a"/>
    <w:next w:val="a"/>
    <w:qFormat/>
    <w:pPr>
      <w:ind w:leftChars="800" w:left="800"/>
    </w:pPr>
  </w:style>
  <w:style w:type="paragraph" w:styleId="aa">
    <w:name w:val="List Bullet"/>
    <w:basedOn w:val="a"/>
    <w:qFormat/>
    <w:pPr>
      <w:tabs>
        <w:tab w:val="left" w:pos="360"/>
      </w:tabs>
      <w:ind w:left="360" w:hanging="360"/>
    </w:pPr>
  </w:style>
  <w:style w:type="paragraph" w:styleId="ab">
    <w:name w:val="envelope address"/>
    <w:basedOn w:val="a"/>
    <w:qFormat/>
    <w:pPr>
      <w:snapToGrid w:val="0"/>
      <w:ind w:leftChars="1400" w:left="100"/>
    </w:pPr>
    <w:rPr>
      <w:rFonts w:ascii="Arial" w:hAnsi="Arial"/>
      <w:sz w:val="24"/>
    </w:rPr>
  </w:style>
  <w:style w:type="paragraph" w:styleId="ac">
    <w:name w:val="Document Map"/>
    <w:basedOn w:val="a"/>
    <w:qFormat/>
    <w:pPr>
      <w:shd w:val="clear" w:color="auto" w:fill="000080"/>
    </w:pPr>
  </w:style>
  <w:style w:type="paragraph" w:styleId="ad">
    <w:name w:val="toa heading"/>
    <w:basedOn w:val="a"/>
    <w:next w:val="a"/>
    <w:qFormat/>
    <w:pPr>
      <w:spacing w:before="120"/>
    </w:pPr>
    <w:rPr>
      <w:rFonts w:ascii="Arial" w:hAnsi="Arial"/>
      <w:sz w:val="24"/>
    </w:rPr>
  </w:style>
  <w:style w:type="paragraph" w:styleId="ae">
    <w:name w:val="annotation text"/>
    <w:basedOn w:val="a"/>
    <w:qFormat/>
    <w:pPr>
      <w:jc w:val="left"/>
    </w:pPr>
  </w:style>
  <w:style w:type="paragraph" w:styleId="60">
    <w:name w:val="index 6"/>
    <w:basedOn w:val="a"/>
    <w:next w:val="a"/>
    <w:qFormat/>
    <w:pPr>
      <w:ind w:leftChars="1000" w:left="1000"/>
    </w:pPr>
  </w:style>
  <w:style w:type="paragraph" w:styleId="af">
    <w:name w:val="Salutation"/>
    <w:basedOn w:val="a"/>
    <w:next w:val="a"/>
    <w:qFormat/>
  </w:style>
  <w:style w:type="paragraph" w:styleId="31">
    <w:name w:val="Body Text 3"/>
    <w:basedOn w:val="a"/>
    <w:qFormat/>
    <w:pPr>
      <w:spacing w:after="120"/>
    </w:pPr>
    <w:rPr>
      <w:sz w:val="16"/>
    </w:rPr>
  </w:style>
  <w:style w:type="paragraph" w:styleId="af0">
    <w:name w:val="Closing"/>
    <w:basedOn w:val="a"/>
    <w:qFormat/>
    <w:pPr>
      <w:ind w:leftChars="2100" w:left="100"/>
    </w:pPr>
  </w:style>
  <w:style w:type="paragraph" w:styleId="32">
    <w:name w:val="List Bullet 3"/>
    <w:basedOn w:val="a"/>
    <w:qFormat/>
    <w:pPr>
      <w:tabs>
        <w:tab w:val="left" w:pos="1200"/>
      </w:tabs>
      <w:ind w:left="1200" w:hanging="360"/>
    </w:pPr>
  </w:style>
  <w:style w:type="paragraph" w:styleId="af1">
    <w:name w:val="Body Text"/>
    <w:basedOn w:val="a"/>
    <w:qFormat/>
    <w:pPr>
      <w:spacing w:after="120"/>
    </w:pPr>
  </w:style>
  <w:style w:type="paragraph" w:styleId="af2">
    <w:name w:val="Body Text Indent"/>
    <w:basedOn w:val="a"/>
    <w:qFormat/>
    <w:pPr>
      <w:spacing w:after="120"/>
      <w:ind w:leftChars="200" w:left="420"/>
    </w:pPr>
  </w:style>
  <w:style w:type="paragraph" w:styleId="33">
    <w:name w:val="List Number 3"/>
    <w:basedOn w:val="a"/>
    <w:qFormat/>
    <w:pPr>
      <w:tabs>
        <w:tab w:val="left" w:pos="1200"/>
      </w:tabs>
      <w:ind w:left="1200" w:hanging="360"/>
    </w:pPr>
  </w:style>
  <w:style w:type="paragraph" w:styleId="21">
    <w:name w:val="List 2"/>
    <w:basedOn w:val="a"/>
    <w:qFormat/>
    <w:pPr>
      <w:ind w:leftChars="200" w:left="100" w:hangingChars="200" w:hanging="200"/>
    </w:pPr>
  </w:style>
  <w:style w:type="paragraph" w:styleId="af3">
    <w:name w:val="List Continue"/>
    <w:basedOn w:val="a"/>
    <w:qFormat/>
    <w:pPr>
      <w:spacing w:after="120"/>
      <w:ind w:leftChars="200" w:left="420"/>
    </w:pPr>
  </w:style>
  <w:style w:type="paragraph" w:styleId="af4">
    <w:name w:val="Block Text"/>
    <w:basedOn w:val="a"/>
    <w:qFormat/>
    <w:pPr>
      <w:spacing w:after="120"/>
      <w:ind w:leftChars="700" w:left="1440" w:rightChars="700" w:right="700"/>
    </w:pPr>
  </w:style>
  <w:style w:type="paragraph" w:styleId="22">
    <w:name w:val="List Bullet 2"/>
    <w:basedOn w:val="a"/>
    <w:qFormat/>
    <w:pPr>
      <w:tabs>
        <w:tab w:val="left" w:pos="780"/>
      </w:tabs>
      <w:ind w:left="780" w:hanging="360"/>
    </w:pPr>
  </w:style>
  <w:style w:type="paragraph" w:styleId="HTML">
    <w:name w:val="HTML Address"/>
    <w:basedOn w:val="a"/>
    <w:qFormat/>
    <w:rPr>
      <w:i/>
    </w:rPr>
  </w:style>
  <w:style w:type="paragraph" w:styleId="41">
    <w:name w:val="index 4"/>
    <w:basedOn w:val="a"/>
    <w:next w:val="a"/>
    <w:qFormat/>
    <w:pPr>
      <w:ind w:leftChars="600" w:left="600"/>
    </w:pPr>
  </w:style>
  <w:style w:type="paragraph" w:styleId="51">
    <w:name w:val="toc 5"/>
    <w:basedOn w:val="a"/>
    <w:next w:val="a"/>
    <w:qFormat/>
    <w:pPr>
      <w:ind w:leftChars="800" w:left="1680"/>
    </w:pPr>
  </w:style>
  <w:style w:type="paragraph" w:styleId="34">
    <w:name w:val="toc 3"/>
    <w:basedOn w:val="a"/>
    <w:next w:val="a"/>
    <w:qFormat/>
    <w:pPr>
      <w:ind w:leftChars="400" w:left="840"/>
    </w:pPr>
  </w:style>
  <w:style w:type="paragraph" w:styleId="af5">
    <w:name w:val="Plain Text"/>
    <w:basedOn w:val="a"/>
    <w:qFormat/>
    <w:rPr>
      <w:rFonts w:ascii="宋体" w:hAnsi="Courier New"/>
    </w:rPr>
  </w:style>
  <w:style w:type="paragraph" w:styleId="52">
    <w:name w:val="List Bullet 5"/>
    <w:basedOn w:val="a"/>
    <w:qFormat/>
    <w:pPr>
      <w:tabs>
        <w:tab w:val="left" w:pos="2040"/>
      </w:tabs>
      <w:ind w:left="2040" w:hanging="360"/>
    </w:pPr>
  </w:style>
  <w:style w:type="paragraph" w:styleId="42">
    <w:name w:val="List Number 4"/>
    <w:basedOn w:val="a"/>
    <w:qFormat/>
    <w:pPr>
      <w:tabs>
        <w:tab w:val="left" w:pos="1620"/>
      </w:tabs>
      <w:ind w:left="1620" w:hanging="360"/>
    </w:pPr>
  </w:style>
  <w:style w:type="paragraph" w:styleId="81">
    <w:name w:val="toc 8"/>
    <w:basedOn w:val="a"/>
    <w:next w:val="a"/>
    <w:qFormat/>
    <w:pPr>
      <w:ind w:leftChars="1400" w:left="2940"/>
    </w:pPr>
  </w:style>
  <w:style w:type="paragraph" w:styleId="35">
    <w:name w:val="index 3"/>
    <w:basedOn w:val="a"/>
    <w:next w:val="a"/>
    <w:qFormat/>
    <w:pPr>
      <w:ind w:leftChars="400" w:left="400"/>
    </w:pPr>
  </w:style>
  <w:style w:type="paragraph" w:styleId="af6">
    <w:name w:val="Date"/>
    <w:basedOn w:val="a"/>
    <w:next w:val="a"/>
    <w:qFormat/>
    <w:pPr>
      <w:ind w:leftChars="2500" w:left="100"/>
    </w:pPr>
  </w:style>
  <w:style w:type="paragraph" w:styleId="23">
    <w:name w:val="Body Text Indent 2"/>
    <w:basedOn w:val="a"/>
    <w:qFormat/>
    <w:pPr>
      <w:spacing w:after="120" w:line="480" w:lineRule="auto"/>
      <w:ind w:leftChars="200" w:left="420"/>
    </w:pPr>
  </w:style>
  <w:style w:type="paragraph" w:styleId="af7">
    <w:name w:val="endnote text"/>
    <w:basedOn w:val="a"/>
    <w:qFormat/>
    <w:pPr>
      <w:snapToGrid w:val="0"/>
      <w:jc w:val="left"/>
    </w:pPr>
  </w:style>
  <w:style w:type="paragraph" w:styleId="53">
    <w:name w:val="List Continue 5"/>
    <w:basedOn w:val="a"/>
    <w:qFormat/>
    <w:pPr>
      <w:spacing w:after="120"/>
      <w:ind w:leftChars="1000" w:left="2100"/>
    </w:pPr>
  </w:style>
  <w:style w:type="paragraph" w:styleId="af8">
    <w:name w:val="Balloon Text"/>
    <w:basedOn w:val="a"/>
    <w:qFormat/>
    <w:rPr>
      <w:sz w:val="18"/>
    </w:rPr>
  </w:style>
  <w:style w:type="paragraph" w:styleId="af9">
    <w:name w:val="footer"/>
    <w:basedOn w:val="a"/>
    <w:qFormat/>
    <w:pPr>
      <w:tabs>
        <w:tab w:val="center" w:pos="4153"/>
        <w:tab w:val="right" w:pos="8306"/>
      </w:tabs>
      <w:snapToGrid w:val="0"/>
      <w:jc w:val="left"/>
    </w:pPr>
    <w:rPr>
      <w:sz w:val="18"/>
    </w:rPr>
  </w:style>
  <w:style w:type="paragraph" w:styleId="afa">
    <w:name w:val="envelope return"/>
    <w:basedOn w:val="a"/>
    <w:qFormat/>
    <w:pPr>
      <w:snapToGrid w:val="0"/>
    </w:pPr>
    <w:rPr>
      <w:rFonts w:ascii="Arial" w:hAnsi="Arial"/>
    </w:rPr>
  </w:style>
  <w:style w:type="paragraph" w:styleId="afb">
    <w:name w:val="header"/>
    <w:basedOn w:val="a"/>
    <w:link w:val="Char"/>
    <w:qFormat/>
    <w:pPr>
      <w:pBdr>
        <w:bottom w:val="single" w:sz="6" w:space="1" w:color="auto"/>
      </w:pBdr>
      <w:tabs>
        <w:tab w:val="center" w:pos="4153"/>
        <w:tab w:val="right" w:pos="8306"/>
      </w:tabs>
      <w:snapToGrid w:val="0"/>
      <w:jc w:val="center"/>
    </w:pPr>
    <w:rPr>
      <w:rFonts w:ascii="Calibri" w:hAnsi="Calibri"/>
      <w:sz w:val="18"/>
    </w:rPr>
  </w:style>
  <w:style w:type="paragraph" w:styleId="afc">
    <w:name w:val="Signature"/>
    <w:basedOn w:val="a"/>
    <w:qFormat/>
    <w:pPr>
      <w:ind w:leftChars="2100" w:left="100"/>
    </w:pPr>
  </w:style>
  <w:style w:type="paragraph" w:styleId="10">
    <w:name w:val="toc 1"/>
    <w:basedOn w:val="a"/>
    <w:next w:val="a"/>
    <w:qFormat/>
  </w:style>
  <w:style w:type="paragraph" w:styleId="43">
    <w:name w:val="List Continue 4"/>
    <w:basedOn w:val="a"/>
    <w:qFormat/>
    <w:pPr>
      <w:spacing w:after="120"/>
      <w:ind w:leftChars="800" w:left="1680"/>
    </w:pPr>
  </w:style>
  <w:style w:type="paragraph" w:styleId="44">
    <w:name w:val="toc 4"/>
    <w:basedOn w:val="a"/>
    <w:next w:val="a"/>
    <w:qFormat/>
    <w:pPr>
      <w:ind w:leftChars="600" w:left="1260"/>
    </w:pPr>
  </w:style>
  <w:style w:type="paragraph" w:styleId="afd">
    <w:name w:val="index heading"/>
    <w:basedOn w:val="a"/>
    <w:next w:val="11"/>
    <w:qFormat/>
    <w:rPr>
      <w:rFonts w:ascii="Arial" w:hAnsi="Arial"/>
      <w:b/>
    </w:rPr>
  </w:style>
  <w:style w:type="paragraph" w:styleId="11">
    <w:name w:val="index 1"/>
    <w:basedOn w:val="a"/>
    <w:next w:val="a"/>
    <w:qFormat/>
  </w:style>
  <w:style w:type="paragraph" w:styleId="afe">
    <w:name w:val="Subtitle"/>
    <w:basedOn w:val="a"/>
    <w:qFormat/>
    <w:pPr>
      <w:spacing w:before="240" w:after="60" w:line="312" w:lineRule="auto"/>
      <w:jc w:val="center"/>
      <w:outlineLvl w:val="1"/>
    </w:pPr>
    <w:rPr>
      <w:rFonts w:ascii="Arial" w:hAnsi="Arial"/>
      <w:b/>
      <w:kern w:val="28"/>
      <w:sz w:val="32"/>
    </w:rPr>
  </w:style>
  <w:style w:type="paragraph" w:styleId="54">
    <w:name w:val="List Number 5"/>
    <w:basedOn w:val="a"/>
    <w:qFormat/>
    <w:pPr>
      <w:tabs>
        <w:tab w:val="left" w:pos="2040"/>
      </w:tabs>
      <w:ind w:left="2040" w:hanging="360"/>
    </w:pPr>
  </w:style>
  <w:style w:type="paragraph" w:styleId="aff">
    <w:name w:val="List"/>
    <w:basedOn w:val="a"/>
    <w:qFormat/>
    <w:pPr>
      <w:ind w:left="200" w:hangingChars="200" w:hanging="200"/>
    </w:pPr>
  </w:style>
  <w:style w:type="paragraph" w:styleId="aff0">
    <w:name w:val="footnote text"/>
    <w:basedOn w:val="a"/>
    <w:qFormat/>
    <w:pPr>
      <w:snapToGrid w:val="0"/>
      <w:jc w:val="left"/>
    </w:pPr>
    <w:rPr>
      <w:sz w:val="18"/>
    </w:rPr>
  </w:style>
  <w:style w:type="paragraph" w:styleId="61">
    <w:name w:val="toc 6"/>
    <w:basedOn w:val="a"/>
    <w:next w:val="a"/>
    <w:qFormat/>
    <w:pPr>
      <w:ind w:leftChars="1000" w:left="2100"/>
    </w:pPr>
  </w:style>
  <w:style w:type="paragraph" w:styleId="55">
    <w:name w:val="List 5"/>
    <w:basedOn w:val="a"/>
    <w:qFormat/>
    <w:pPr>
      <w:ind w:leftChars="800" w:left="100" w:hangingChars="200" w:hanging="200"/>
    </w:pPr>
  </w:style>
  <w:style w:type="paragraph" w:styleId="36">
    <w:name w:val="Body Text Indent 3"/>
    <w:basedOn w:val="a"/>
    <w:qFormat/>
    <w:pPr>
      <w:spacing w:line="300" w:lineRule="auto"/>
      <w:ind w:firstLineChars="200" w:firstLine="480"/>
    </w:pPr>
    <w:rPr>
      <w:sz w:val="24"/>
    </w:rPr>
  </w:style>
  <w:style w:type="paragraph" w:styleId="71">
    <w:name w:val="index 7"/>
    <w:basedOn w:val="a"/>
    <w:next w:val="a"/>
    <w:qFormat/>
    <w:pPr>
      <w:ind w:leftChars="1200" w:left="1200"/>
    </w:pPr>
  </w:style>
  <w:style w:type="paragraph" w:styleId="90">
    <w:name w:val="index 9"/>
    <w:basedOn w:val="a"/>
    <w:next w:val="a"/>
    <w:qFormat/>
    <w:pPr>
      <w:ind w:leftChars="1600" w:left="1600"/>
    </w:pPr>
  </w:style>
  <w:style w:type="paragraph" w:styleId="aff1">
    <w:name w:val="table of figures"/>
    <w:basedOn w:val="a"/>
    <w:next w:val="a"/>
    <w:qFormat/>
    <w:pPr>
      <w:ind w:leftChars="200" w:left="200" w:hangingChars="200" w:hanging="200"/>
    </w:pPr>
  </w:style>
  <w:style w:type="paragraph" w:styleId="24">
    <w:name w:val="toc 2"/>
    <w:basedOn w:val="a"/>
    <w:next w:val="a"/>
    <w:qFormat/>
    <w:pPr>
      <w:ind w:leftChars="200" w:left="420"/>
    </w:pPr>
  </w:style>
  <w:style w:type="paragraph" w:styleId="91">
    <w:name w:val="toc 9"/>
    <w:basedOn w:val="a"/>
    <w:next w:val="a"/>
    <w:qFormat/>
    <w:pPr>
      <w:ind w:leftChars="1600" w:left="3360"/>
    </w:pPr>
  </w:style>
  <w:style w:type="paragraph" w:styleId="25">
    <w:name w:val="Body Text 2"/>
    <w:basedOn w:val="a"/>
    <w:qFormat/>
    <w:pPr>
      <w:spacing w:after="120" w:line="480" w:lineRule="auto"/>
    </w:pPr>
  </w:style>
  <w:style w:type="paragraph" w:styleId="45">
    <w:name w:val="List 4"/>
    <w:basedOn w:val="a"/>
    <w:qFormat/>
    <w:pPr>
      <w:ind w:leftChars="600" w:left="100" w:hangingChars="200" w:hanging="200"/>
    </w:pPr>
  </w:style>
  <w:style w:type="paragraph" w:styleId="26">
    <w:name w:val="List Continue 2"/>
    <w:basedOn w:val="a"/>
    <w:qFormat/>
    <w:pPr>
      <w:spacing w:after="120"/>
      <w:ind w:leftChars="400" w:left="840"/>
    </w:pPr>
  </w:style>
  <w:style w:type="paragraph" w:styleId="aff2">
    <w:name w:val="Message Header"/>
    <w:basedOn w:val="a"/>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sz w:val="24"/>
    </w:rPr>
  </w:style>
  <w:style w:type="paragraph" w:styleId="HTML0">
    <w:name w:val="HTML Preformatted"/>
    <w:basedOn w:val="a"/>
    <w:link w:val="HTMLChar"/>
    <w:uiPriority w:val="99"/>
    <w:qFormat/>
    <w:rPr>
      <w:rFonts w:ascii="Courier New" w:hAnsi="Courier New"/>
    </w:rPr>
  </w:style>
  <w:style w:type="paragraph" w:styleId="aff3">
    <w:name w:val="Normal (Web)"/>
    <w:basedOn w:val="a"/>
    <w:uiPriority w:val="99"/>
    <w:qFormat/>
    <w:pPr>
      <w:spacing w:before="100" w:beforeAutospacing="1" w:after="100" w:afterAutospacing="1"/>
      <w:jc w:val="left"/>
    </w:pPr>
    <w:rPr>
      <w:kern w:val="0"/>
      <w:sz w:val="24"/>
    </w:rPr>
  </w:style>
  <w:style w:type="paragraph" w:styleId="37">
    <w:name w:val="List Continue 3"/>
    <w:basedOn w:val="a"/>
    <w:qFormat/>
    <w:pPr>
      <w:spacing w:after="120"/>
      <w:ind w:leftChars="600" w:left="1260"/>
    </w:pPr>
  </w:style>
  <w:style w:type="paragraph" w:styleId="27">
    <w:name w:val="index 2"/>
    <w:basedOn w:val="a"/>
    <w:next w:val="a"/>
    <w:qFormat/>
    <w:pPr>
      <w:ind w:leftChars="200" w:left="200"/>
    </w:pPr>
  </w:style>
  <w:style w:type="paragraph" w:styleId="aff4">
    <w:name w:val="Title"/>
    <w:basedOn w:val="a"/>
    <w:qFormat/>
    <w:pPr>
      <w:spacing w:before="240" w:after="60"/>
      <w:jc w:val="center"/>
      <w:outlineLvl w:val="0"/>
    </w:pPr>
    <w:rPr>
      <w:rFonts w:ascii="Arial" w:hAnsi="Arial"/>
      <w:b/>
      <w:sz w:val="32"/>
    </w:rPr>
  </w:style>
  <w:style w:type="paragraph" w:styleId="aff5">
    <w:name w:val="annotation subject"/>
    <w:basedOn w:val="ae"/>
    <w:next w:val="ae"/>
    <w:qFormat/>
    <w:rPr>
      <w:b/>
    </w:rPr>
  </w:style>
  <w:style w:type="paragraph" w:styleId="aff6">
    <w:name w:val="Body Text First Indent"/>
    <w:basedOn w:val="af1"/>
    <w:qFormat/>
    <w:pPr>
      <w:ind w:firstLineChars="100" w:firstLine="420"/>
    </w:pPr>
  </w:style>
  <w:style w:type="paragraph" w:styleId="28">
    <w:name w:val="Body Text First Indent 2"/>
    <w:basedOn w:val="af2"/>
    <w:qFormat/>
    <w:pPr>
      <w:ind w:firstLineChars="200" w:firstLine="420"/>
    </w:pPr>
  </w:style>
  <w:style w:type="character" w:styleId="aff7">
    <w:name w:val="Strong"/>
    <w:uiPriority w:val="22"/>
    <w:qFormat/>
    <w:rPr>
      <w:b/>
    </w:rPr>
  </w:style>
  <w:style w:type="character" w:styleId="aff8">
    <w:name w:val="page number"/>
    <w:basedOn w:val="a0"/>
    <w:qFormat/>
  </w:style>
  <w:style w:type="character" w:styleId="aff9">
    <w:name w:val="FollowedHyperlink"/>
    <w:basedOn w:val="a0"/>
    <w:semiHidden/>
    <w:unhideWhenUsed/>
    <w:qFormat/>
    <w:rPr>
      <w:color w:val="996600"/>
      <w:u w:val="none"/>
    </w:rPr>
  </w:style>
  <w:style w:type="character" w:styleId="affa">
    <w:name w:val="Emphasis"/>
    <w:qFormat/>
    <w:rPr>
      <w:color w:val="CC0000"/>
    </w:rPr>
  </w:style>
  <w:style w:type="character" w:styleId="affb">
    <w:name w:val="Hyperlink"/>
    <w:uiPriority w:val="99"/>
    <w:qFormat/>
    <w:rPr>
      <w:color w:val="000000"/>
      <w:u w:val="none"/>
    </w:rPr>
  </w:style>
  <w:style w:type="paragraph" w:customStyle="1" w:styleId="z-1">
    <w:name w:val="z-窗体顶端1"/>
    <w:basedOn w:val="a"/>
    <w:next w:val="a"/>
    <w:qFormat/>
    <w:pPr>
      <w:widowControl/>
      <w:pBdr>
        <w:bottom w:val="single" w:sz="6" w:space="1" w:color="auto"/>
      </w:pBdr>
      <w:jc w:val="center"/>
    </w:pPr>
    <w:rPr>
      <w:rFonts w:ascii="Arial" w:hAnsi="Arial"/>
      <w:vanish/>
      <w:kern w:val="0"/>
      <w:sz w:val="16"/>
    </w:rPr>
  </w:style>
  <w:style w:type="paragraph" w:customStyle="1" w:styleId="Char0">
    <w:name w:val="Char"/>
    <w:basedOn w:val="a"/>
    <w:qFormat/>
    <w:pPr>
      <w:tabs>
        <w:tab w:val="left" w:pos="360"/>
      </w:tabs>
    </w:pPr>
    <w:rPr>
      <w:rFonts w:ascii="Courier New" w:hAnsi="Courier New"/>
    </w:rPr>
  </w:style>
  <w:style w:type="paragraph" w:customStyle="1" w:styleId="110">
    <w:name w:val="列出段落11"/>
    <w:basedOn w:val="a"/>
    <w:qFormat/>
    <w:pPr>
      <w:ind w:firstLineChars="200" w:firstLine="420"/>
    </w:pPr>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color w:val="000000"/>
      <w:sz w:val="24"/>
    </w:rPr>
  </w:style>
  <w:style w:type="paragraph" w:customStyle="1" w:styleId="12">
    <w:name w:val="页眉1"/>
    <w:basedOn w:val="a"/>
    <w:qFormat/>
    <w:pPr>
      <w:pBdr>
        <w:bottom w:val="single" w:sz="6" w:space="1" w:color="auto"/>
      </w:pBdr>
      <w:tabs>
        <w:tab w:val="center" w:pos="4153"/>
        <w:tab w:val="right" w:pos="8306"/>
      </w:tabs>
      <w:snapToGrid w:val="0"/>
      <w:jc w:val="center"/>
    </w:pPr>
    <w:rPr>
      <w:rFonts w:ascii="Calibri" w:hAnsi="Calibri"/>
      <w:sz w:val="18"/>
    </w:rPr>
  </w:style>
  <w:style w:type="paragraph" w:customStyle="1" w:styleId="13">
    <w:name w:val="无间隔1"/>
    <w:qFormat/>
    <w:pPr>
      <w:widowControl w:val="0"/>
      <w:jc w:val="both"/>
    </w:pPr>
    <w:rPr>
      <w:kern w:val="2"/>
      <w:sz w:val="21"/>
    </w:rPr>
  </w:style>
  <w:style w:type="paragraph" w:customStyle="1" w:styleId="14">
    <w:name w:val="页脚1"/>
    <w:basedOn w:val="a"/>
    <w:qFormat/>
    <w:pPr>
      <w:tabs>
        <w:tab w:val="center" w:pos="4153"/>
        <w:tab w:val="right" w:pos="8306"/>
      </w:tabs>
      <w:snapToGrid w:val="0"/>
      <w:jc w:val="left"/>
    </w:pPr>
    <w:rPr>
      <w:sz w:val="18"/>
    </w:rPr>
  </w:style>
  <w:style w:type="paragraph" w:customStyle="1" w:styleId="15">
    <w:name w:val="列出段落1"/>
    <w:basedOn w:val="a"/>
    <w:qFormat/>
    <w:pPr>
      <w:ind w:firstLineChars="200" w:firstLine="420"/>
    </w:pPr>
  </w:style>
  <w:style w:type="paragraph" w:customStyle="1" w:styleId="p0">
    <w:name w:val="p0"/>
    <w:basedOn w:val="a"/>
    <w:qFormat/>
    <w:pPr>
      <w:widowControl/>
    </w:pPr>
    <w:rPr>
      <w:kern w:val="0"/>
    </w:rPr>
  </w:style>
  <w:style w:type="paragraph" w:customStyle="1" w:styleId="120">
    <w:name w:val="列出段落12"/>
    <w:basedOn w:val="a"/>
    <w:qFormat/>
    <w:pPr>
      <w:widowControl/>
      <w:ind w:firstLineChars="200" w:firstLine="420"/>
      <w:jc w:val="left"/>
    </w:pPr>
    <w:rPr>
      <w:rFonts w:ascii="宋体" w:hAnsi="宋体"/>
      <w:kern w:val="0"/>
      <w:sz w:val="24"/>
    </w:rPr>
  </w:style>
  <w:style w:type="paragraph" w:customStyle="1" w:styleId="z-10">
    <w:name w:val="z-窗体底端1"/>
    <w:basedOn w:val="a"/>
    <w:next w:val="a"/>
    <w:qFormat/>
    <w:pPr>
      <w:widowControl/>
      <w:pBdr>
        <w:top w:val="single" w:sz="6" w:space="1" w:color="auto"/>
      </w:pBdr>
      <w:jc w:val="center"/>
    </w:pPr>
    <w:rPr>
      <w:rFonts w:ascii="Arial" w:hAnsi="Arial"/>
      <w:vanish/>
      <w:kern w:val="0"/>
      <w:sz w:val="16"/>
    </w:rPr>
  </w:style>
  <w:style w:type="character" w:customStyle="1" w:styleId="font01">
    <w:name w:val="font01"/>
    <w:qFormat/>
    <w:rPr>
      <w:rFonts w:ascii="Arial" w:hAnsi="Arial" w:hint="default"/>
      <w:b/>
      <w:color w:val="000000"/>
      <w:sz w:val="16"/>
      <w:u w:val="none"/>
    </w:rPr>
  </w:style>
  <w:style w:type="character" w:customStyle="1" w:styleId="txtcontent11">
    <w:name w:val="txtcontent11"/>
    <w:qFormat/>
    <w:rPr>
      <w:rFonts w:ascii="ˎ̥" w:hAnsi="ˎ̥" w:hint="default"/>
      <w:color w:val="000000"/>
      <w:sz w:val="21"/>
    </w:rPr>
  </w:style>
  <w:style w:type="character" w:customStyle="1" w:styleId="font41">
    <w:name w:val="font41"/>
    <w:qFormat/>
    <w:rPr>
      <w:rFonts w:ascii="宋体" w:eastAsia="宋体" w:hAnsi="宋体" w:hint="eastAsia"/>
      <w:b/>
      <w:color w:val="000000"/>
      <w:sz w:val="16"/>
      <w:u w:val="none"/>
    </w:rPr>
  </w:style>
  <w:style w:type="character" w:customStyle="1" w:styleId="font81">
    <w:name w:val="font81"/>
    <w:qFormat/>
    <w:rPr>
      <w:rFonts w:ascii="宋体" w:eastAsia="宋体" w:hAnsi="宋体" w:hint="eastAsia"/>
      <w:b/>
      <w:color w:val="000000"/>
      <w:sz w:val="16"/>
      <w:u w:val="none"/>
    </w:rPr>
  </w:style>
  <w:style w:type="character" w:customStyle="1" w:styleId="font61">
    <w:name w:val="font61"/>
    <w:qFormat/>
    <w:rPr>
      <w:rFonts w:ascii="宋体" w:eastAsia="宋体" w:hAnsi="宋体" w:hint="eastAsia"/>
      <w:b/>
      <w:color w:val="000000"/>
      <w:sz w:val="16"/>
      <w:u w:val="none"/>
    </w:rPr>
  </w:style>
  <w:style w:type="character" w:customStyle="1" w:styleId="HTMLChar">
    <w:name w:val="HTML 预设格式 Char"/>
    <w:link w:val="HTML0"/>
    <w:uiPriority w:val="99"/>
    <w:qFormat/>
    <w:rPr>
      <w:rFonts w:ascii="Courier New" w:hAnsi="Courier New"/>
      <w:kern w:val="2"/>
    </w:rPr>
  </w:style>
  <w:style w:type="character" w:customStyle="1" w:styleId="16">
    <w:name w:val="未处理的提及1"/>
    <w:qFormat/>
    <w:rPr>
      <w:color w:val="808080"/>
      <w:shd w:val="clear" w:color="auto" w:fill="E6E6E6"/>
    </w:rPr>
  </w:style>
  <w:style w:type="character" w:customStyle="1" w:styleId="personpopuptrigger">
    <w:name w:val="personpopuptrigger"/>
    <w:basedOn w:val="a0"/>
    <w:qFormat/>
  </w:style>
  <w:style w:type="character" w:customStyle="1" w:styleId="17">
    <w:name w:val="不明显强调1"/>
    <w:qFormat/>
    <w:rPr>
      <w:i/>
      <w:color w:val="808080"/>
    </w:rPr>
  </w:style>
  <w:style w:type="character" w:customStyle="1" w:styleId="font71">
    <w:name w:val="font71"/>
    <w:qFormat/>
    <w:rPr>
      <w:rFonts w:ascii="宋体" w:eastAsia="宋体" w:hAnsi="宋体" w:hint="eastAsia"/>
      <w:b/>
      <w:color w:val="000000"/>
      <w:sz w:val="16"/>
      <w:u w:val="none"/>
    </w:rPr>
  </w:style>
  <w:style w:type="character" w:customStyle="1" w:styleId="Char">
    <w:name w:val="页眉 Char"/>
    <w:link w:val="afb"/>
    <w:qFormat/>
    <w:rPr>
      <w:rFonts w:ascii="Calibri" w:eastAsia="宋体" w:hAnsi="Calibri"/>
      <w:kern w:val="2"/>
      <w:sz w:val="18"/>
      <w:lang w:val="en-US" w:eastAsia="zh-CN"/>
    </w:rPr>
  </w:style>
  <w:style w:type="character" w:customStyle="1" w:styleId="font51">
    <w:name w:val="font51"/>
    <w:qFormat/>
    <w:rPr>
      <w:rFonts w:ascii="Arial" w:hAnsi="Arial" w:hint="default"/>
      <w:b/>
      <w:color w:val="000000"/>
      <w:sz w:val="16"/>
      <w:u w:val="none"/>
    </w:rPr>
  </w:style>
  <w:style w:type="character" w:customStyle="1" w:styleId="font11">
    <w:name w:val="font11"/>
    <w:qFormat/>
    <w:rPr>
      <w:rFonts w:ascii="Arial" w:hAnsi="Arial" w:hint="default"/>
      <w:b/>
      <w:color w:val="000000"/>
      <w:sz w:val="16"/>
      <w:u w:val="none"/>
    </w:rPr>
  </w:style>
  <w:style w:type="character" w:customStyle="1" w:styleId="underline1">
    <w:name w:val="underline1"/>
    <w:qFormat/>
    <w:rPr>
      <w:u w:val="single"/>
    </w:rPr>
  </w:style>
  <w:style w:type="character" w:customStyle="1" w:styleId="font31">
    <w:name w:val="font31"/>
    <w:qFormat/>
    <w:rPr>
      <w:rFonts w:ascii="宋体" w:eastAsia="宋体" w:hAnsi="宋体" w:hint="eastAsia"/>
      <w:b/>
      <w:color w:val="000000"/>
      <w:sz w:val="16"/>
      <w:u w:val="none"/>
    </w:rPr>
  </w:style>
  <w:style w:type="character" w:customStyle="1" w:styleId="apple-converted-space">
    <w:name w:val="apple-converted-space"/>
    <w:basedOn w:val="a0"/>
    <w:qFormat/>
  </w:style>
  <w:style w:type="character" w:customStyle="1" w:styleId="lbldetailcontent1">
    <w:name w:val="lbldetailcontent1"/>
    <w:qFormat/>
  </w:style>
  <w:style w:type="character" w:customStyle="1" w:styleId="18">
    <w:name w:val="页码1"/>
    <w:basedOn w:val="a0"/>
    <w:qFormat/>
  </w:style>
  <w:style w:type="character" w:customStyle="1" w:styleId="font21">
    <w:name w:val="font21"/>
    <w:qFormat/>
    <w:rPr>
      <w:rFonts w:ascii="宋体" w:eastAsia="宋体" w:hAnsi="宋体" w:hint="eastAsia"/>
      <w:b/>
      <w:color w:val="000000"/>
      <w:sz w:val="16"/>
      <w:u w:val="none"/>
    </w:rPr>
  </w:style>
  <w:style w:type="paragraph" w:customStyle="1" w:styleId="19">
    <w:name w:val="列表段落1"/>
    <w:basedOn w:val="a"/>
    <w:uiPriority w:val="99"/>
    <w:unhideWhenUsed/>
    <w:qFormat/>
    <w:pPr>
      <w:ind w:firstLineChars="200" w:firstLine="420"/>
    </w:pPr>
  </w:style>
  <w:style w:type="character" w:customStyle="1" w:styleId="readmaillocationtip">
    <w:name w:val="readmail_locationtip"/>
    <w:basedOn w:val="a0"/>
    <w:qFormat/>
  </w:style>
  <w:style w:type="character" w:customStyle="1" w:styleId="29">
    <w:name w:val="未处理的提及2"/>
    <w:basedOn w:val="a0"/>
    <w:uiPriority w:val="99"/>
    <w:unhideWhenUsed/>
    <w:qFormat/>
    <w:rPr>
      <w:color w:val="605E5C"/>
      <w:shd w:val="clear" w:color="auto" w:fill="E1DFDD"/>
    </w:rPr>
  </w:style>
  <w:style w:type="paragraph" w:styleId="affc">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9329">
      <w:bodyDiv w:val="1"/>
      <w:marLeft w:val="0"/>
      <w:marRight w:val="0"/>
      <w:marTop w:val="0"/>
      <w:marBottom w:val="0"/>
      <w:divBdr>
        <w:top w:val="none" w:sz="0" w:space="0" w:color="auto"/>
        <w:left w:val="none" w:sz="0" w:space="0" w:color="auto"/>
        <w:bottom w:val="none" w:sz="0" w:space="0" w:color="auto"/>
        <w:right w:val="none" w:sz="0" w:space="0" w:color="auto"/>
      </w:divBdr>
    </w:div>
    <w:div w:id="15620290">
      <w:bodyDiv w:val="1"/>
      <w:marLeft w:val="0"/>
      <w:marRight w:val="0"/>
      <w:marTop w:val="0"/>
      <w:marBottom w:val="0"/>
      <w:divBdr>
        <w:top w:val="none" w:sz="0" w:space="0" w:color="auto"/>
        <w:left w:val="none" w:sz="0" w:space="0" w:color="auto"/>
        <w:bottom w:val="none" w:sz="0" w:space="0" w:color="auto"/>
        <w:right w:val="none" w:sz="0" w:space="0" w:color="auto"/>
      </w:divBdr>
    </w:div>
    <w:div w:id="44835616">
      <w:bodyDiv w:val="1"/>
      <w:marLeft w:val="0"/>
      <w:marRight w:val="0"/>
      <w:marTop w:val="0"/>
      <w:marBottom w:val="0"/>
      <w:divBdr>
        <w:top w:val="none" w:sz="0" w:space="0" w:color="auto"/>
        <w:left w:val="none" w:sz="0" w:space="0" w:color="auto"/>
        <w:bottom w:val="none" w:sz="0" w:space="0" w:color="auto"/>
        <w:right w:val="none" w:sz="0" w:space="0" w:color="auto"/>
      </w:divBdr>
    </w:div>
    <w:div w:id="66920464">
      <w:bodyDiv w:val="1"/>
      <w:marLeft w:val="0"/>
      <w:marRight w:val="0"/>
      <w:marTop w:val="0"/>
      <w:marBottom w:val="0"/>
      <w:divBdr>
        <w:top w:val="none" w:sz="0" w:space="0" w:color="auto"/>
        <w:left w:val="none" w:sz="0" w:space="0" w:color="auto"/>
        <w:bottom w:val="none" w:sz="0" w:space="0" w:color="auto"/>
        <w:right w:val="none" w:sz="0" w:space="0" w:color="auto"/>
      </w:divBdr>
    </w:div>
    <w:div w:id="125587456">
      <w:bodyDiv w:val="1"/>
      <w:marLeft w:val="0"/>
      <w:marRight w:val="0"/>
      <w:marTop w:val="0"/>
      <w:marBottom w:val="0"/>
      <w:divBdr>
        <w:top w:val="none" w:sz="0" w:space="0" w:color="auto"/>
        <w:left w:val="none" w:sz="0" w:space="0" w:color="auto"/>
        <w:bottom w:val="none" w:sz="0" w:space="0" w:color="auto"/>
        <w:right w:val="none" w:sz="0" w:space="0" w:color="auto"/>
      </w:divBdr>
    </w:div>
    <w:div w:id="145359383">
      <w:bodyDiv w:val="1"/>
      <w:marLeft w:val="0"/>
      <w:marRight w:val="0"/>
      <w:marTop w:val="0"/>
      <w:marBottom w:val="0"/>
      <w:divBdr>
        <w:top w:val="none" w:sz="0" w:space="0" w:color="auto"/>
        <w:left w:val="none" w:sz="0" w:space="0" w:color="auto"/>
        <w:bottom w:val="none" w:sz="0" w:space="0" w:color="auto"/>
        <w:right w:val="none" w:sz="0" w:space="0" w:color="auto"/>
      </w:divBdr>
    </w:div>
    <w:div w:id="160317496">
      <w:bodyDiv w:val="1"/>
      <w:marLeft w:val="0"/>
      <w:marRight w:val="0"/>
      <w:marTop w:val="0"/>
      <w:marBottom w:val="0"/>
      <w:divBdr>
        <w:top w:val="none" w:sz="0" w:space="0" w:color="auto"/>
        <w:left w:val="none" w:sz="0" w:space="0" w:color="auto"/>
        <w:bottom w:val="none" w:sz="0" w:space="0" w:color="auto"/>
        <w:right w:val="none" w:sz="0" w:space="0" w:color="auto"/>
      </w:divBdr>
    </w:div>
    <w:div w:id="167407903">
      <w:bodyDiv w:val="1"/>
      <w:marLeft w:val="0"/>
      <w:marRight w:val="0"/>
      <w:marTop w:val="0"/>
      <w:marBottom w:val="0"/>
      <w:divBdr>
        <w:top w:val="none" w:sz="0" w:space="0" w:color="auto"/>
        <w:left w:val="none" w:sz="0" w:space="0" w:color="auto"/>
        <w:bottom w:val="none" w:sz="0" w:space="0" w:color="auto"/>
        <w:right w:val="none" w:sz="0" w:space="0" w:color="auto"/>
      </w:divBdr>
    </w:div>
    <w:div w:id="224688123">
      <w:bodyDiv w:val="1"/>
      <w:marLeft w:val="0"/>
      <w:marRight w:val="0"/>
      <w:marTop w:val="0"/>
      <w:marBottom w:val="0"/>
      <w:divBdr>
        <w:top w:val="none" w:sz="0" w:space="0" w:color="auto"/>
        <w:left w:val="none" w:sz="0" w:space="0" w:color="auto"/>
        <w:bottom w:val="none" w:sz="0" w:space="0" w:color="auto"/>
        <w:right w:val="none" w:sz="0" w:space="0" w:color="auto"/>
      </w:divBdr>
    </w:div>
    <w:div w:id="226376423">
      <w:bodyDiv w:val="1"/>
      <w:marLeft w:val="0"/>
      <w:marRight w:val="0"/>
      <w:marTop w:val="0"/>
      <w:marBottom w:val="0"/>
      <w:divBdr>
        <w:top w:val="none" w:sz="0" w:space="0" w:color="auto"/>
        <w:left w:val="none" w:sz="0" w:space="0" w:color="auto"/>
        <w:bottom w:val="none" w:sz="0" w:space="0" w:color="auto"/>
        <w:right w:val="none" w:sz="0" w:space="0" w:color="auto"/>
      </w:divBdr>
    </w:div>
    <w:div w:id="232277700">
      <w:bodyDiv w:val="1"/>
      <w:marLeft w:val="0"/>
      <w:marRight w:val="0"/>
      <w:marTop w:val="0"/>
      <w:marBottom w:val="0"/>
      <w:divBdr>
        <w:top w:val="none" w:sz="0" w:space="0" w:color="auto"/>
        <w:left w:val="none" w:sz="0" w:space="0" w:color="auto"/>
        <w:bottom w:val="none" w:sz="0" w:space="0" w:color="auto"/>
        <w:right w:val="none" w:sz="0" w:space="0" w:color="auto"/>
      </w:divBdr>
    </w:div>
    <w:div w:id="335035564">
      <w:bodyDiv w:val="1"/>
      <w:marLeft w:val="0"/>
      <w:marRight w:val="0"/>
      <w:marTop w:val="0"/>
      <w:marBottom w:val="0"/>
      <w:divBdr>
        <w:top w:val="none" w:sz="0" w:space="0" w:color="auto"/>
        <w:left w:val="none" w:sz="0" w:space="0" w:color="auto"/>
        <w:bottom w:val="none" w:sz="0" w:space="0" w:color="auto"/>
        <w:right w:val="none" w:sz="0" w:space="0" w:color="auto"/>
      </w:divBdr>
    </w:div>
    <w:div w:id="346950929">
      <w:bodyDiv w:val="1"/>
      <w:marLeft w:val="0"/>
      <w:marRight w:val="0"/>
      <w:marTop w:val="0"/>
      <w:marBottom w:val="0"/>
      <w:divBdr>
        <w:top w:val="none" w:sz="0" w:space="0" w:color="auto"/>
        <w:left w:val="none" w:sz="0" w:space="0" w:color="auto"/>
        <w:bottom w:val="none" w:sz="0" w:space="0" w:color="auto"/>
        <w:right w:val="none" w:sz="0" w:space="0" w:color="auto"/>
      </w:divBdr>
    </w:div>
    <w:div w:id="368461165">
      <w:bodyDiv w:val="1"/>
      <w:marLeft w:val="0"/>
      <w:marRight w:val="0"/>
      <w:marTop w:val="0"/>
      <w:marBottom w:val="0"/>
      <w:divBdr>
        <w:top w:val="none" w:sz="0" w:space="0" w:color="auto"/>
        <w:left w:val="none" w:sz="0" w:space="0" w:color="auto"/>
        <w:bottom w:val="none" w:sz="0" w:space="0" w:color="auto"/>
        <w:right w:val="none" w:sz="0" w:space="0" w:color="auto"/>
      </w:divBdr>
    </w:div>
    <w:div w:id="371730349">
      <w:bodyDiv w:val="1"/>
      <w:marLeft w:val="0"/>
      <w:marRight w:val="0"/>
      <w:marTop w:val="0"/>
      <w:marBottom w:val="0"/>
      <w:divBdr>
        <w:top w:val="none" w:sz="0" w:space="0" w:color="auto"/>
        <w:left w:val="none" w:sz="0" w:space="0" w:color="auto"/>
        <w:bottom w:val="none" w:sz="0" w:space="0" w:color="auto"/>
        <w:right w:val="none" w:sz="0" w:space="0" w:color="auto"/>
      </w:divBdr>
    </w:div>
    <w:div w:id="379016886">
      <w:bodyDiv w:val="1"/>
      <w:marLeft w:val="0"/>
      <w:marRight w:val="0"/>
      <w:marTop w:val="0"/>
      <w:marBottom w:val="0"/>
      <w:divBdr>
        <w:top w:val="none" w:sz="0" w:space="0" w:color="auto"/>
        <w:left w:val="none" w:sz="0" w:space="0" w:color="auto"/>
        <w:bottom w:val="none" w:sz="0" w:space="0" w:color="auto"/>
        <w:right w:val="none" w:sz="0" w:space="0" w:color="auto"/>
      </w:divBdr>
    </w:div>
    <w:div w:id="392392625">
      <w:bodyDiv w:val="1"/>
      <w:marLeft w:val="0"/>
      <w:marRight w:val="0"/>
      <w:marTop w:val="0"/>
      <w:marBottom w:val="0"/>
      <w:divBdr>
        <w:top w:val="none" w:sz="0" w:space="0" w:color="auto"/>
        <w:left w:val="none" w:sz="0" w:space="0" w:color="auto"/>
        <w:bottom w:val="none" w:sz="0" w:space="0" w:color="auto"/>
        <w:right w:val="none" w:sz="0" w:space="0" w:color="auto"/>
      </w:divBdr>
    </w:div>
    <w:div w:id="398330917">
      <w:bodyDiv w:val="1"/>
      <w:marLeft w:val="0"/>
      <w:marRight w:val="0"/>
      <w:marTop w:val="0"/>
      <w:marBottom w:val="0"/>
      <w:divBdr>
        <w:top w:val="none" w:sz="0" w:space="0" w:color="auto"/>
        <w:left w:val="none" w:sz="0" w:space="0" w:color="auto"/>
        <w:bottom w:val="none" w:sz="0" w:space="0" w:color="auto"/>
        <w:right w:val="none" w:sz="0" w:space="0" w:color="auto"/>
      </w:divBdr>
    </w:div>
    <w:div w:id="447509914">
      <w:bodyDiv w:val="1"/>
      <w:marLeft w:val="0"/>
      <w:marRight w:val="0"/>
      <w:marTop w:val="0"/>
      <w:marBottom w:val="0"/>
      <w:divBdr>
        <w:top w:val="none" w:sz="0" w:space="0" w:color="auto"/>
        <w:left w:val="none" w:sz="0" w:space="0" w:color="auto"/>
        <w:bottom w:val="none" w:sz="0" w:space="0" w:color="auto"/>
        <w:right w:val="none" w:sz="0" w:space="0" w:color="auto"/>
      </w:divBdr>
    </w:div>
    <w:div w:id="461461925">
      <w:bodyDiv w:val="1"/>
      <w:marLeft w:val="0"/>
      <w:marRight w:val="0"/>
      <w:marTop w:val="0"/>
      <w:marBottom w:val="0"/>
      <w:divBdr>
        <w:top w:val="none" w:sz="0" w:space="0" w:color="auto"/>
        <w:left w:val="none" w:sz="0" w:space="0" w:color="auto"/>
        <w:bottom w:val="none" w:sz="0" w:space="0" w:color="auto"/>
        <w:right w:val="none" w:sz="0" w:space="0" w:color="auto"/>
      </w:divBdr>
    </w:div>
    <w:div w:id="488061912">
      <w:bodyDiv w:val="1"/>
      <w:marLeft w:val="0"/>
      <w:marRight w:val="0"/>
      <w:marTop w:val="0"/>
      <w:marBottom w:val="0"/>
      <w:divBdr>
        <w:top w:val="none" w:sz="0" w:space="0" w:color="auto"/>
        <w:left w:val="none" w:sz="0" w:space="0" w:color="auto"/>
        <w:bottom w:val="none" w:sz="0" w:space="0" w:color="auto"/>
        <w:right w:val="none" w:sz="0" w:space="0" w:color="auto"/>
      </w:divBdr>
    </w:div>
    <w:div w:id="490028912">
      <w:bodyDiv w:val="1"/>
      <w:marLeft w:val="0"/>
      <w:marRight w:val="0"/>
      <w:marTop w:val="0"/>
      <w:marBottom w:val="0"/>
      <w:divBdr>
        <w:top w:val="none" w:sz="0" w:space="0" w:color="auto"/>
        <w:left w:val="none" w:sz="0" w:space="0" w:color="auto"/>
        <w:bottom w:val="none" w:sz="0" w:space="0" w:color="auto"/>
        <w:right w:val="none" w:sz="0" w:space="0" w:color="auto"/>
      </w:divBdr>
    </w:div>
    <w:div w:id="531460593">
      <w:bodyDiv w:val="1"/>
      <w:marLeft w:val="0"/>
      <w:marRight w:val="0"/>
      <w:marTop w:val="0"/>
      <w:marBottom w:val="0"/>
      <w:divBdr>
        <w:top w:val="none" w:sz="0" w:space="0" w:color="auto"/>
        <w:left w:val="none" w:sz="0" w:space="0" w:color="auto"/>
        <w:bottom w:val="none" w:sz="0" w:space="0" w:color="auto"/>
        <w:right w:val="none" w:sz="0" w:space="0" w:color="auto"/>
      </w:divBdr>
    </w:div>
    <w:div w:id="534083672">
      <w:bodyDiv w:val="1"/>
      <w:marLeft w:val="0"/>
      <w:marRight w:val="0"/>
      <w:marTop w:val="0"/>
      <w:marBottom w:val="0"/>
      <w:divBdr>
        <w:top w:val="none" w:sz="0" w:space="0" w:color="auto"/>
        <w:left w:val="none" w:sz="0" w:space="0" w:color="auto"/>
        <w:bottom w:val="none" w:sz="0" w:space="0" w:color="auto"/>
        <w:right w:val="none" w:sz="0" w:space="0" w:color="auto"/>
      </w:divBdr>
    </w:div>
    <w:div w:id="557209845">
      <w:bodyDiv w:val="1"/>
      <w:marLeft w:val="0"/>
      <w:marRight w:val="0"/>
      <w:marTop w:val="0"/>
      <w:marBottom w:val="0"/>
      <w:divBdr>
        <w:top w:val="none" w:sz="0" w:space="0" w:color="auto"/>
        <w:left w:val="none" w:sz="0" w:space="0" w:color="auto"/>
        <w:bottom w:val="none" w:sz="0" w:space="0" w:color="auto"/>
        <w:right w:val="none" w:sz="0" w:space="0" w:color="auto"/>
      </w:divBdr>
    </w:div>
    <w:div w:id="561597355">
      <w:bodyDiv w:val="1"/>
      <w:marLeft w:val="0"/>
      <w:marRight w:val="0"/>
      <w:marTop w:val="0"/>
      <w:marBottom w:val="0"/>
      <w:divBdr>
        <w:top w:val="none" w:sz="0" w:space="0" w:color="auto"/>
        <w:left w:val="none" w:sz="0" w:space="0" w:color="auto"/>
        <w:bottom w:val="none" w:sz="0" w:space="0" w:color="auto"/>
        <w:right w:val="none" w:sz="0" w:space="0" w:color="auto"/>
      </w:divBdr>
    </w:div>
    <w:div w:id="569115582">
      <w:bodyDiv w:val="1"/>
      <w:marLeft w:val="0"/>
      <w:marRight w:val="0"/>
      <w:marTop w:val="0"/>
      <w:marBottom w:val="0"/>
      <w:divBdr>
        <w:top w:val="none" w:sz="0" w:space="0" w:color="auto"/>
        <w:left w:val="none" w:sz="0" w:space="0" w:color="auto"/>
        <w:bottom w:val="none" w:sz="0" w:space="0" w:color="auto"/>
        <w:right w:val="none" w:sz="0" w:space="0" w:color="auto"/>
      </w:divBdr>
    </w:div>
    <w:div w:id="569462966">
      <w:bodyDiv w:val="1"/>
      <w:marLeft w:val="0"/>
      <w:marRight w:val="0"/>
      <w:marTop w:val="0"/>
      <w:marBottom w:val="0"/>
      <w:divBdr>
        <w:top w:val="none" w:sz="0" w:space="0" w:color="auto"/>
        <w:left w:val="none" w:sz="0" w:space="0" w:color="auto"/>
        <w:bottom w:val="none" w:sz="0" w:space="0" w:color="auto"/>
        <w:right w:val="none" w:sz="0" w:space="0" w:color="auto"/>
      </w:divBdr>
    </w:div>
    <w:div w:id="665524104">
      <w:bodyDiv w:val="1"/>
      <w:marLeft w:val="0"/>
      <w:marRight w:val="0"/>
      <w:marTop w:val="0"/>
      <w:marBottom w:val="0"/>
      <w:divBdr>
        <w:top w:val="none" w:sz="0" w:space="0" w:color="auto"/>
        <w:left w:val="none" w:sz="0" w:space="0" w:color="auto"/>
        <w:bottom w:val="none" w:sz="0" w:space="0" w:color="auto"/>
        <w:right w:val="none" w:sz="0" w:space="0" w:color="auto"/>
      </w:divBdr>
    </w:div>
    <w:div w:id="673146763">
      <w:bodyDiv w:val="1"/>
      <w:marLeft w:val="0"/>
      <w:marRight w:val="0"/>
      <w:marTop w:val="0"/>
      <w:marBottom w:val="0"/>
      <w:divBdr>
        <w:top w:val="none" w:sz="0" w:space="0" w:color="auto"/>
        <w:left w:val="none" w:sz="0" w:space="0" w:color="auto"/>
        <w:bottom w:val="none" w:sz="0" w:space="0" w:color="auto"/>
        <w:right w:val="none" w:sz="0" w:space="0" w:color="auto"/>
      </w:divBdr>
    </w:div>
    <w:div w:id="707029044">
      <w:bodyDiv w:val="1"/>
      <w:marLeft w:val="0"/>
      <w:marRight w:val="0"/>
      <w:marTop w:val="0"/>
      <w:marBottom w:val="0"/>
      <w:divBdr>
        <w:top w:val="none" w:sz="0" w:space="0" w:color="auto"/>
        <w:left w:val="none" w:sz="0" w:space="0" w:color="auto"/>
        <w:bottom w:val="none" w:sz="0" w:space="0" w:color="auto"/>
        <w:right w:val="none" w:sz="0" w:space="0" w:color="auto"/>
      </w:divBdr>
    </w:div>
    <w:div w:id="756168909">
      <w:bodyDiv w:val="1"/>
      <w:marLeft w:val="0"/>
      <w:marRight w:val="0"/>
      <w:marTop w:val="0"/>
      <w:marBottom w:val="0"/>
      <w:divBdr>
        <w:top w:val="none" w:sz="0" w:space="0" w:color="auto"/>
        <w:left w:val="none" w:sz="0" w:space="0" w:color="auto"/>
        <w:bottom w:val="none" w:sz="0" w:space="0" w:color="auto"/>
        <w:right w:val="none" w:sz="0" w:space="0" w:color="auto"/>
      </w:divBdr>
    </w:div>
    <w:div w:id="812521166">
      <w:bodyDiv w:val="1"/>
      <w:marLeft w:val="0"/>
      <w:marRight w:val="0"/>
      <w:marTop w:val="0"/>
      <w:marBottom w:val="0"/>
      <w:divBdr>
        <w:top w:val="none" w:sz="0" w:space="0" w:color="auto"/>
        <w:left w:val="none" w:sz="0" w:space="0" w:color="auto"/>
        <w:bottom w:val="none" w:sz="0" w:space="0" w:color="auto"/>
        <w:right w:val="none" w:sz="0" w:space="0" w:color="auto"/>
      </w:divBdr>
    </w:div>
    <w:div w:id="816454998">
      <w:bodyDiv w:val="1"/>
      <w:marLeft w:val="0"/>
      <w:marRight w:val="0"/>
      <w:marTop w:val="0"/>
      <w:marBottom w:val="0"/>
      <w:divBdr>
        <w:top w:val="none" w:sz="0" w:space="0" w:color="auto"/>
        <w:left w:val="none" w:sz="0" w:space="0" w:color="auto"/>
        <w:bottom w:val="none" w:sz="0" w:space="0" w:color="auto"/>
        <w:right w:val="none" w:sz="0" w:space="0" w:color="auto"/>
      </w:divBdr>
    </w:div>
    <w:div w:id="852378937">
      <w:bodyDiv w:val="1"/>
      <w:marLeft w:val="0"/>
      <w:marRight w:val="0"/>
      <w:marTop w:val="0"/>
      <w:marBottom w:val="0"/>
      <w:divBdr>
        <w:top w:val="none" w:sz="0" w:space="0" w:color="auto"/>
        <w:left w:val="none" w:sz="0" w:space="0" w:color="auto"/>
        <w:bottom w:val="none" w:sz="0" w:space="0" w:color="auto"/>
        <w:right w:val="none" w:sz="0" w:space="0" w:color="auto"/>
      </w:divBdr>
    </w:div>
    <w:div w:id="869876046">
      <w:bodyDiv w:val="1"/>
      <w:marLeft w:val="0"/>
      <w:marRight w:val="0"/>
      <w:marTop w:val="0"/>
      <w:marBottom w:val="0"/>
      <w:divBdr>
        <w:top w:val="none" w:sz="0" w:space="0" w:color="auto"/>
        <w:left w:val="none" w:sz="0" w:space="0" w:color="auto"/>
        <w:bottom w:val="none" w:sz="0" w:space="0" w:color="auto"/>
        <w:right w:val="none" w:sz="0" w:space="0" w:color="auto"/>
      </w:divBdr>
    </w:div>
    <w:div w:id="880288376">
      <w:bodyDiv w:val="1"/>
      <w:marLeft w:val="0"/>
      <w:marRight w:val="0"/>
      <w:marTop w:val="0"/>
      <w:marBottom w:val="0"/>
      <w:divBdr>
        <w:top w:val="none" w:sz="0" w:space="0" w:color="auto"/>
        <w:left w:val="none" w:sz="0" w:space="0" w:color="auto"/>
        <w:bottom w:val="none" w:sz="0" w:space="0" w:color="auto"/>
        <w:right w:val="none" w:sz="0" w:space="0" w:color="auto"/>
      </w:divBdr>
    </w:div>
    <w:div w:id="887497311">
      <w:bodyDiv w:val="1"/>
      <w:marLeft w:val="0"/>
      <w:marRight w:val="0"/>
      <w:marTop w:val="0"/>
      <w:marBottom w:val="0"/>
      <w:divBdr>
        <w:top w:val="none" w:sz="0" w:space="0" w:color="auto"/>
        <w:left w:val="none" w:sz="0" w:space="0" w:color="auto"/>
        <w:bottom w:val="none" w:sz="0" w:space="0" w:color="auto"/>
        <w:right w:val="none" w:sz="0" w:space="0" w:color="auto"/>
      </w:divBdr>
    </w:div>
    <w:div w:id="925573233">
      <w:bodyDiv w:val="1"/>
      <w:marLeft w:val="0"/>
      <w:marRight w:val="0"/>
      <w:marTop w:val="0"/>
      <w:marBottom w:val="0"/>
      <w:divBdr>
        <w:top w:val="none" w:sz="0" w:space="0" w:color="auto"/>
        <w:left w:val="none" w:sz="0" w:space="0" w:color="auto"/>
        <w:bottom w:val="none" w:sz="0" w:space="0" w:color="auto"/>
        <w:right w:val="none" w:sz="0" w:space="0" w:color="auto"/>
      </w:divBdr>
    </w:div>
    <w:div w:id="942154586">
      <w:bodyDiv w:val="1"/>
      <w:marLeft w:val="0"/>
      <w:marRight w:val="0"/>
      <w:marTop w:val="0"/>
      <w:marBottom w:val="0"/>
      <w:divBdr>
        <w:top w:val="none" w:sz="0" w:space="0" w:color="auto"/>
        <w:left w:val="none" w:sz="0" w:space="0" w:color="auto"/>
        <w:bottom w:val="none" w:sz="0" w:space="0" w:color="auto"/>
        <w:right w:val="none" w:sz="0" w:space="0" w:color="auto"/>
      </w:divBdr>
    </w:div>
    <w:div w:id="951010636">
      <w:bodyDiv w:val="1"/>
      <w:marLeft w:val="0"/>
      <w:marRight w:val="0"/>
      <w:marTop w:val="0"/>
      <w:marBottom w:val="0"/>
      <w:divBdr>
        <w:top w:val="none" w:sz="0" w:space="0" w:color="auto"/>
        <w:left w:val="none" w:sz="0" w:space="0" w:color="auto"/>
        <w:bottom w:val="none" w:sz="0" w:space="0" w:color="auto"/>
        <w:right w:val="none" w:sz="0" w:space="0" w:color="auto"/>
      </w:divBdr>
    </w:div>
    <w:div w:id="1036857933">
      <w:bodyDiv w:val="1"/>
      <w:marLeft w:val="0"/>
      <w:marRight w:val="0"/>
      <w:marTop w:val="0"/>
      <w:marBottom w:val="0"/>
      <w:divBdr>
        <w:top w:val="none" w:sz="0" w:space="0" w:color="auto"/>
        <w:left w:val="none" w:sz="0" w:space="0" w:color="auto"/>
        <w:bottom w:val="none" w:sz="0" w:space="0" w:color="auto"/>
        <w:right w:val="none" w:sz="0" w:space="0" w:color="auto"/>
      </w:divBdr>
    </w:div>
    <w:div w:id="1042755213">
      <w:bodyDiv w:val="1"/>
      <w:marLeft w:val="0"/>
      <w:marRight w:val="0"/>
      <w:marTop w:val="0"/>
      <w:marBottom w:val="0"/>
      <w:divBdr>
        <w:top w:val="none" w:sz="0" w:space="0" w:color="auto"/>
        <w:left w:val="none" w:sz="0" w:space="0" w:color="auto"/>
        <w:bottom w:val="none" w:sz="0" w:space="0" w:color="auto"/>
        <w:right w:val="none" w:sz="0" w:space="0" w:color="auto"/>
      </w:divBdr>
    </w:div>
    <w:div w:id="1044716883">
      <w:bodyDiv w:val="1"/>
      <w:marLeft w:val="0"/>
      <w:marRight w:val="0"/>
      <w:marTop w:val="0"/>
      <w:marBottom w:val="0"/>
      <w:divBdr>
        <w:top w:val="none" w:sz="0" w:space="0" w:color="auto"/>
        <w:left w:val="none" w:sz="0" w:space="0" w:color="auto"/>
        <w:bottom w:val="none" w:sz="0" w:space="0" w:color="auto"/>
        <w:right w:val="none" w:sz="0" w:space="0" w:color="auto"/>
      </w:divBdr>
    </w:div>
    <w:div w:id="1060641327">
      <w:bodyDiv w:val="1"/>
      <w:marLeft w:val="0"/>
      <w:marRight w:val="0"/>
      <w:marTop w:val="0"/>
      <w:marBottom w:val="0"/>
      <w:divBdr>
        <w:top w:val="none" w:sz="0" w:space="0" w:color="auto"/>
        <w:left w:val="none" w:sz="0" w:space="0" w:color="auto"/>
        <w:bottom w:val="none" w:sz="0" w:space="0" w:color="auto"/>
        <w:right w:val="none" w:sz="0" w:space="0" w:color="auto"/>
      </w:divBdr>
    </w:div>
    <w:div w:id="1081217069">
      <w:bodyDiv w:val="1"/>
      <w:marLeft w:val="0"/>
      <w:marRight w:val="0"/>
      <w:marTop w:val="0"/>
      <w:marBottom w:val="0"/>
      <w:divBdr>
        <w:top w:val="none" w:sz="0" w:space="0" w:color="auto"/>
        <w:left w:val="none" w:sz="0" w:space="0" w:color="auto"/>
        <w:bottom w:val="none" w:sz="0" w:space="0" w:color="auto"/>
        <w:right w:val="none" w:sz="0" w:space="0" w:color="auto"/>
      </w:divBdr>
    </w:div>
    <w:div w:id="1090930866">
      <w:bodyDiv w:val="1"/>
      <w:marLeft w:val="0"/>
      <w:marRight w:val="0"/>
      <w:marTop w:val="0"/>
      <w:marBottom w:val="0"/>
      <w:divBdr>
        <w:top w:val="none" w:sz="0" w:space="0" w:color="auto"/>
        <w:left w:val="none" w:sz="0" w:space="0" w:color="auto"/>
        <w:bottom w:val="none" w:sz="0" w:space="0" w:color="auto"/>
        <w:right w:val="none" w:sz="0" w:space="0" w:color="auto"/>
      </w:divBdr>
    </w:div>
    <w:div w:id="1106315528">
      <w:bodyDiv w:val="1"/>
      <w:marLeft w:val="0"/>
      <w:marRight w:val="0"/>
      <w:marTop w:val="0"/>
      <w:marBottom w:val="0"/>
      <w:divBdr>
        <w:top w:val="none" w:sz="0" w:space="0" w:color="auto"/>
        <w:left w:val="none" w:sz="0" w:space="0" w:color="auto"/>
        <w:bottom w:val="none" w:sz="0" w:space="0" w:color="auto"/>
        <w:right w:val="none" w:sz="0" w:space="0" w:color="auto"/>
      </w:divBdr>
    </w:div>
    <w:div w:id="1107655414">
      <w:bodyDiv w:val="1"/>
      <w:marLeft w:val="0"/>
      <w:marRight w:val="0"/>
      <w:marTop w:val="0"/>
      <w:marBottom w:val="0"/>
      <w:divBdr>
        <w:top w:val="none" w:sz="0" w:space="0" w:color="auto"/>
        <w:left w:val="none" w:sz="0" w:space="0" w:color="auto"/>
        <w:bottom w:val="none" w:sz="0" w:space="0" w:color="auto"/>
        <w:right w:val="none" w:sz="0" w:space="0" w:color="auto"/>
      </w:divBdr>
    </w:div>
    <w:div w:id="1126510952">
      <w:bodyDiv w:val="1"/>
      <w:marLeft w:val="0"/>
      <w:marRight w:val="0"/>
      <w:marTop w:val="0"/>
      <w:marBottom w:val="0"/>
      <w:divBdr>
        <w:top w:val="none" w:sz="0" w:space="0" w:color="auto"/>
        <w:left w:val="none" w:sz="0" w:space="0" w:color="auto"/>
        <w:bottom w:val="none" w:sz="0" w:space="0" w:color="auto"/>
        <w:right w:val="none" w:sz="0" w:space="0" w:color="auto"/>
      </w:divBdr>
    </w:div>
    <w:div w:id="1148790680">
      <w:bodyDiv w:val="1"/>
      <w:marLeft w:val="0"/>
      <w:marRight w:val="0"/>
      <w:marTop w:val="0"/>
      <w:marBottom w:val="0"/>
      <w:divBdr>
        <w:top w:val="none" w:sz="0" w:space="0" w:color="auto"/>
        <w:left w:val="none" w:sz="0" w:space="0" w:color="auto"/>
        <w:bottom w:val="none" w:sz="0" w:space="0" w:color="auto"/>
        <w:right w:val="none" w:sz="0" w:space="0" w:color="auto"/>
      </w:divBdr>
    </w:div>
    <w:div w:id="1157498877">
      <w:bodyDiv w:val="1"/>
      <w:marLeft w:val="0"/>
      <w:marRight w:val="0"/>
      <w:marTop w:val="0"/>
      <w:marBottom w:val="0"/>
      <w:divBdr>
        <w:top w:val="none" w:sz="0" w:space="0" w:color="auto"/>
        <w:left w:val="none" w:sz="0" w:space="0" w:color="auto"/>
        <w:bottom w:val="none" w:sz="0" w:space="0" w:color="auto"/>
        <w:right w:val="none" w:sz="0" w:space="0" w:color="auto"/>
      </w:divBdr>
    </w:div>
    <w:div w:id="1158811183">
      <w:bodyDiv w:val="1"/>
      <w:marLeft w:val="0"/>
      <w:marRight w:val="0"/>
      <w:marTop w:val="0"/>
      <w:marBottom w:val="0"/>
      <w:divBdr>
        <w:top w:val="none" w:sz="0" w:space="0" w:color="auto"/>
        <w:left w:val="none" w:sz="0" w:space="0" w:color="auto"/>
        <w:bottom w:val="none" w:sz="0" w:space="0" w:color="auto"/>
        <w:right w:val="none" w:sz="0" w:space="0" w:color="auto"/>
      </w:divBdr>
    </w:div>
    <w:div w:id="1253978554">
      <w:bodyDiv w:val="1"/>
      <w:marLeft w:val="0"/>
      <w:marRight w:val="0"/>
      <w:marTop w:val="0"/>
      <w:marBottom w:val="0"/>
      <w:divBdr>
        <w:top w:val="none" w:sz="0" w:space="0" w:color="auto"/>
        <w:left w:val="none" w:sz="0" w:space="0" w:color="auto"/>
        <w:bottom w:val="none" w:sz="0" w:space="0" w:color="auto"/>
        <w:right w:val="none" w:sz="0" w:space="0" w:color="auto"/>
      </w:divBdr>
    </w:div>
    <w:div w:id="1312448163">
      <w:bodyDiv w:val="1"/>
      <w:marLeft w:val="0"/>
      <w:marRight w:val="0"/>
      <w:marTop w:val="0"/>
      <w:marBottom w:val="0"/>
      <w:divBdr>
        <w:top w:val="none" w:sz="0" w:space="0" w:color="auto"/>
        <w:left w:val="none" w:sz="0" w:space="0" w:color="auto"/>
        <w:bottom w:val="none" w:sz="0" w:space="0" w:color="auto"/>
        <w:right w:val="none" w:sz="0" w:space="0" w:color="auto"/>
      </w:divBdr>
    </w:div>
    <w:div w:id="1322583511">
      <w:bodyDiv w:val="1"/>
      <w:marLeft w:val="0"/>
      <w:marRight w:val="0"/>
      <w:marTop w:val="0"/>
      <w:marBottom w:val="0"/>
      <w:divBdr>
        <w:top w:val="none" w:sz="0" w:space="0" w:color="auto"/>
        <w:left w:val="none" w:sz="0" w:space="0" w:color="auto"/>
        <w:bottom w:val="none" w:sz="0" w:space="0" w:color="auto"/>
        <w:right w:val="none" w:sz="0" w:space="0" w:color="auto"/>
      </w:divBdr>
    </w:div>
    <w:div w:id="1508059307">
      <w:bodyDiv w:val="1"/>
      <w:marLeft w:val="0"/>
      <w:marRight w:val="0"/>
      <w:marTop w:val="0"/>
      <w:marBottom w:val="0"/>
      <w:divBdr>
        <w:top w:val="none" w:sz="0" w:space="0" w:color="auto"/>
        <w:left w:val="none" w:sz="0" w:space="0" w:color="auto"/>
        <w:bottom w:val="none" w:sz="0" w:space="0" w:color="auto"/>
        <w:right w:val="none" w:sz="0" w:space="0" w:color="auto"/>
      </w:divBdr>
    </w:div>
    <w:div w:id="1573540200">
      <w:bodyDiv w:val="1"/>
      <w:marLeft w:val="0"/>
      <w:marRight w:val="0"/>
      <w:marTop w:val="0"/>
      <w:marBottom w:val="0"/>
      <w:divBdr>
        <w:top w:val="none" w:sz="0" w:space="0" w:color="auto"/>
        <w:left w:val="none" w:sz="0" w:space="0" w:color="auto"/>
        <w:bottom w:val="none" w:sz="0" w:space="0" w:color="auto"/>
        <w:right w:val="none" w:sz="0" w:space="0" w:color="auto"/>
      </w:divBdr>
    </w:div>
    <w:div w:id="1619217805">
      <w:bodyDiv w:val="1"/>
      <w:marLeft w:val="0"/>
      <w:marRight w:val="0"/>
      <w:marTop w:val="0"/>
      <w:marBottom w:val="0"/>
      <w:divBdr>
        <w:top w:val="none" w:sz="0" w:space="0" w:color="auto"/>
        <w:left w:val="none" w:sz="0" w:space="0" w:color="auto"/>
        <w:bottom w:val="none" w:sz="0" w:space="0" w:color="auto"/>
        <w:right w:val="none" w:sz="0" w:space="0" w:color="auto"/>
      </w:divBdr>
    </w:div>
    <w:div w:id="1619677041">
      <w:bodyDiv w:val="1"/>
      <w:marLeft w:val="0"/>
      <w:marRight w:val="0"/>
      <w:marTop w:val="0"/>
      <w:marBottom w:val="0"/>
      <w:divBdr>
        <w:top w:val="none" w:sz="0" w:space="0" w:color="auto"/>
        <w:left w:val="none" w:sz="0" w:space="0" w:color="auto"/>
        <w:bottom w:val="none" w:sz="0" w:space="0" w:color="auto"/>
        <w:right w:val="none" w:sz="0" w:space="0" w:color="auto"/>
      </w:divBdr>
    </w:div>
    <w:div w:id="1694115357">
      <w:bodyDiv w:val="1"/>
      <w:marLeft w:val="0"/>
      <w:marRight w:val="0"/>
      <w:marTop w:val="0"/>
      <w:marBottom w:val="0"/>
      <w:divBdr>
        <w:top w:val="none" w:sz="0" w:space="0" w:color="auto"/>
        <w:left w:val="none" w:sz="0" w:space="0" w:color="auto"/>
        <w:bottom w:val="none" w:sz="0" w:space="0" w:color="auto"/>
        <w:right w:val="none" w:sz="0" w:space="0" w:color="auto"/>
      </w:divBdr>
    </w:div>
    <w:div w:id="1719622103">
      <w:bodyDiv w:val="1"/>
      <w:marLeft w:val="0"/>
      <w:marRight w:val="0"/>
      <w:marTop w:val="0"/>
      <w:marBottom w:val="0"/>
      <w:divBdr>
        <w:top w:val="none" w:sz="0" w:space="0" w:color="auto"/>
        <w:left w:val="none" w:sz="0" w:space="0" w:color="auto"/>
        <w:bottom w:val="none" w:sz="0" w:space="0" w:color="auto"/>
        <w:right w:val="none" w:sz="0" w:space="0" w:color="auto"/>
      </w:divBdr>
    </w:div>
    <w:div w:id="1731153312">
      <w:bodyDiv w:val="1"/>
      <w:marLeft w:val="0"/>
      <w:marRight w:val="0"/>
      <w:marTop w:val="0"/>
      <w:marBottom w:val="0"/>
      <w:divBdr>
        <w:top w:val="none" w:sz="0" w:space="0" w:color="auto"/>
        <w:left w:val="none" w:sz="0" w:space="0" w:color="auto"/>
        <w:bottom w:val="none" w:sz="0" w:space="0" w:color="auto"/>
        <w:right w:val="none" w:sz="0" w:space="0" w:color="auto"/>
      </w:divBdr>
    </w:div>
    <w:div w:id="1753549530">
      <w:bodyDiv w:val="1"/>
      <w:marLeft w:val="0"/>
      <w:marRight w:val="0"/>
      <w:marTop w:val="0"/>
      <w:marBottom w:val="0"/>
      <w:divBdr>
        <w:top w:val="none" w:sz="0" w:space="0" w:color="auto"/>
        <w:left w:val="none" w:sz="0" w:space="0" w:color="auto"/>
        <w:bottom w:val="none" w:sz="0" w:space="0" w:color="auto"/>
        <w:right w:val="none" w:sz="0" w:space="0" w:color="auto"/>
      </w:divBdr>
    </w:div>
    <w:div w:id="1782190175">
      <w:bodyDiv w:val="1"/>
      <w:marLeft w:val="0"/>
      <w:marRight w:val="0"/>
      <w:marTop w:val="0"/>
      <w:marBottom w:val="0"/>
      <w:divBdr>
        <w:top w:val="none" w:sz="0" w:space="0" w:color="auto"/>
        <w:left w:val="none" w:sz="0" w:space="0" w:color="auto"/>
        <w:bottom w:val="none" w:sz="0" w:space="0" w:color="auto"/>
        <w:right w:val="none" w:sz="0" w:space="0" w:color="auto"/>
      </w:divBdr>
    </w:div>
    <w:div w:id="1783105878">
      <w:bodyDiv w:val="1"/>
      <w:marLeft w:val="0"/>
      <w:marRight w:val="0"/>
      <w:marTop w:val="0"/>
      <w:marBottom w:val="0"/>
      <w:divBdr>
        <w:top w:val="none" w:sz="0" w:space="0" w:color="auto"/>
        <w:left w:val="none" w:sz="0" w:space="0" w:color="auto"/>
        <w:bottom w:val="none" w:sz="0" w:space="0" w:color="auto"/>
        <w:right w:val="none" w:sz="0" w:space="0" w:color="auto"/>
      </w:divBdr>
    </w:div>
    <w:div w:id="1802654660">
      <w:bodyDiv w:val="1"/>
      <w:marLeft w:val="0"/>
      <w:marRight w:val="0"/>
      <w:marTop w:val="0"/>
      <w:marBottom w:val="0"/>
      <w:divBdr>
        <w:top w:val="none" w:sz="0" w:space="0" w:color="auto"/>
        <w:left w:val="none" w:sz="0" w:space="0" w:color="auto"/>
        <w:bottom w:val="none" w:sz="0" w:space="0" w:color="auto"/>
        <w:right w:val="none" w:sz="0" w:space="0" w:color="auto"/>
      </w:divBdr>
    </w:div>
    <w:div w:id="1811049081">
      <w:bodyDiv w:val="1"/>
      <w:marLeft w:val="0"/>
      <w:marRight w:val="0"/>
      <w:marTop w:val="0"/>
      <w:marBottom w:val="0"/>
      <w:divBdr>
        <w:top w:val="none" w:sz="0" w:space="0" w:color="auto"/>
        <w:left w:val="none" w:sz="0" w:space="0" w:color="auto"/>
        <w:bottom w:val="none" w:sz="0" w:space="0" w:color="auto"/>
        <w:right w:val="none" w:sz="0" w:space="0" w:color="auto"/>
      </w:divBdr>
    </w:div>
    <w:div w:id="1864396953">
      <w:bodyDiv w:val="1"/>
      <w:marLeft w:val="0"/>
      <w:marRight w:val="0"/>
      <w:marTop w:val="0"/>
      <w:marBottom w:val="0"/>
      <w:divBdr>
        <w:top w:val="none" w:sz="0" w:space="0" w:color="auto"/>
        <w:left w:val="none" w:sz="0" w:space="0" w:color="auto"/>
        <w:bottom w:val="none" w:sz="0" w:space="0" w:color="auto"/>
        <w:right w:val="none" w:sz="0" w:space="0" w:color="auto"/>
      </w:divBdr>
    </w:div>
    <w:div w:id="1883444936">
      <w:bodyDiv w:val="1"/>
      <w:marLeft w:val="0"/>
      <w:marRight w:val="0"/>
      <w:marTop w:val="0"/>
      <w:marBottom w:val="0"/>
      <w:divBdr>
        <w:top w:val="none" w:sz="0" w:space="0" w:color="auto"/>
        <w:left w:val="none" w:sz="0" w:space="0" w:color="auto"/>
        <w:bottom w:val="none" w:sz="0" w:space="0" w:color="auto"/>
        <w:right w:val="none" w:sz="0" w:space="0" w:color="auto"/>
      </w:divBdr>
    </w:div>
    <w:div w:id="1894346784">
      <w:bodyDiv w:val="1"/>
      <w:marLeft w:val="0"/>
      <w:marRight w:val="0"/>
      <w:marTop w:val="0"/>
      <w:marBottom w:val="0"/>
      <w:divBdr>
        <w:top w:val="none" w:sz="0" w:space="0" w:color="auto"/>
        <w:left w:val="none" w:sz="0" w:space="0" w:color="auto"/>
        <w:bottom w:val="none" w:sz="0" w:space="0" w:color="auto"/>
        <w:right w:val="none" w:sz="0" w:space="0" w:color="auto"/>
      </w:divBdr>
    </w:div>
    <w:div w:id="1908609073">
      <w:bodyDiv w:val="1"/>
      <w:marLeft w:val="0"/>
      <w:marRight w:val="0"/>
      <w:marTop w:val="0"/>
      <w:marBottom w:val="0"/>
      <w:divBdr>
        <w:top w:val="none" w:sz="0" w:space="0" w:color="auto"/>
        <w:left w:val="none" w:sz="0" w:space="0" w:color="auto"/>
        <w:bottom w:val="none" w:sz="0" w:space="0" w:color="auto"/>
        <w:right w:val="none" w:sz="0" w:space="0" w:color="auto"/>
      </w:divBdr>
    </w:div>
    <w:div w:id="2003242413">
      <w:bodyDiv w:val="1"/>
      <w:marLeft w:val="0"/>
      <w:marRight w:val="0"/>
      <w:marTop w:val="0"/>
      <w:marBottom w:val="0"/>
      <w:divBdr>
        <w:top w:val="none" w:sz="0" w:space="0" w:color="auto"/>
        <w:left w:val="none" w:sz="0" w:space="0" w:color="auto"/>
        <w:bottom w:val="none" w:sz="0" w:space="0" w:color="auto"/>
        <w:right w:val="none" w:sz="0" w:space="0" w:color="auto"/>
      </w:divBdr>
    </w:div>
    <w:div w:id="2009746481">
      <w:bodyDiv w:val="1"/>
      <w:marLeft w:val="0"/>
      <w:marRight w:val="0"/>
      <w:marTop w:val="0"/>
      <w:marBottom w:val="0"/>
      <w:divBdr>
        <w:top w:val="none" w:sz="0" w:space="0" w:color="auto"/>
        <w:left w:val="none" w:sz="0" w:space="0" w:color="auto"/>
        <w:bottom w:val="none" w:sz="0" w:space="0" w:color="auto"/>
        <w:right w:val="none" w:sz="0" w:space="0" w:color="auto"/>
      </w:divBdr>
    </w:div>
    <w:div w:id="2023163337">
      <w:bodyDiv w:val="1"/>
      <w:marLeft w:val="0"/>
      <w:marRight w:val="0"/>
      <w:marTop w:val="0"/>
      <w:marBottom w:val="0"/>
      <w:divBdr>
        <w:top w:val="none" w:sz="0" w:space="0" w:color="auto"/>
        <w:left w:val="none" w:sz="0" w:space="0" w:color="auto"/>
        <w:bottom w:val="none" w:sz="0" w:space="0" w:color="auto"/>
        <w:right w:val="none" w:sz="0" w:space="0" w:color="auto"/>
      </w:divBdr>
    </w:div>
    <w:div w:id="2042320093">
      <w:bodyDiv w:val="1"/>
      <w:marLeft w:val="0"/>
      <w:marRight w:val="0"/>
      <w:marTop w:val="0"/>
      <w:marBottom w:val="0"/>
      <w:divBdr>
        <w:top w:val="none" w:sz="0" w:space="0" w:color="auto"/>
        <w:left w:val="none" w:sz="0" w:space="0" w:color="auto"/>
        <w:bottom w:val="none" w:sz="0" w:space="0" w:color="auto"/>
        <w:right w:val="none" w:sz="0" w:space="0" w:color="auto"/>
      </w:divBdr>
    </w:div>
    <w:div w:id="2078168889">
      <w:bodyDiv w:val="1"/>
      <w:marLeft w:val="0"/>
      <w:marRight w:val="0"/>
      <w:marTop w:val="0"/>
      <w:marBottom w:val="0"/>
      <w:divBdr>
        <w:top w:val="none" w:sz="0" w:space="0" w:color="auto"/>
        <w:left w:val="none" w:sz="0" w:space="0" w:color="auto"/>
        <w:bottom w:val="none" w:sz="0" w:space="0" w:color="auto"/>
        <w:right w:val="none" w:sz="0" w:space="0" w:color="auto"/>
      </w:divBdr>
    </w:div>
    <w:div w:id="21425787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26089;&#30424;&#24037;&#20316;\&#26032;&#19990;&#32426;&#26399;&#36135;&#30424;&#21069;&#20132;&#26131;&#25552;&#31034;2019.3.21.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E6DDB4A-5974-4944-9BAC-DB2E200B1CC4}">
  <we:reference id="4f5fc3d5-136b-4c76-b40a-6b26653cd4f1" version="1.2.0.0" store="EnglishAssistanceProvider" storeType="Registry"/>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078731-B530-400F-8B85-1156130A5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新世纪期货盘前交易提示2019.3.21.dotx</Template>
  <TotalTime>5</TotalTime>
  <Pages>7</Pages>
  <Words>1463</Words>
  <Characters>8343</Characters>
  <Application>Microsoft Office Word</Application>
  <DocSecurity>0</DocSecurity>
  <Lines>69</Lines>
  <Paragraphs>19</Paragraphs>
  <ScaleCrop>false</ScaleCrop>
  <Company>Microsoft</Company>
  <LinksUpToDate>false</LinksUpToDate>
  <CharactersWithSpaces>9787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避险拉动，金牛隐现</dc:title>
  <dc:creator>AutoBVT</dc:creator>
  <cp:lastModifiedBy>陈凯杰</cp:lastModifiedBy>
  <cp:revision>5</cp:revision>
  <cp:lastPrinted>2021-02-01T00:40:00Z</cp:lastPrinted>
  <dcterms:created xsi:type="dcterms:W3CDTF">2021-06-07T00:34:00Z</dcterms:created>
  <dcterms:modified xsi:type="dcterms:W3CDTF">2021-06-07T00:44:00Z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2052-11.1.0.10359</vt:lpwstr>
  </property>
  <property fmtid="{D5CDD505-2E9C-101B-9397-08002B2CF9AE}" pid="3" name="ICV">
    <vt:lpwstr>5478A458F0774A69A6891ACB969380EC</vt:lpwstr>
  </property>
</Properties>
</file>