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F6558" w:rsidRDefault="00653621">
      <w:pPr>
        <w:tabs>
          <w:tab w:val="left" w:pos="3804"/>
        </w:tabs>
        <w:spacing w:beforeLines="100" w:before="312" w:afterLines="100" w:after="312" w:line="480" w:lineRule="auto"/>
        <w:rPr>
          <w:rFonts w:ascii="宋体" w:hAnsi="宋体"/>
          <w:color w:val="FFFFFF"/>
          <w:sz w:val="28"/>
        </w:rPr>
      </w:pPr>
      <w:r>
        <w:rPr>
          <w:rFonts w:ascii="黑体" w:eastAsia="黑体" w:hAnsi="宋体"/>
          <w:noProof/>
          <w:color w:val="FFFFFF"/>
          <w:sz w:val="28"/>
        </w:rPr>
        <mc:AlternateContent>
          <mc:Choice Requires="wps">
            <w:drawing>
              <wp:anchor distT="0" distB="0" distL="114300" distR="114300" simplePos="0" relativeHeight="251660288"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11"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a:effectLst/>
                      </wps:spPr>
                      <wps:txb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786238">
                              <w:rPr>
                                <w:rFonts w:ascii="黑体" w:eastAsia="黑体" w:hAnsi="Arial Black" w:hint="eastAsia"/>
                                <w:noProof/>
                                <w:color w:val="FFFFFF"/>
                                <w:sz w:val="28"/>
                              </w:rPr>
                              <w:t>2021年6月4日星期五</w:t>
                            </w:r>
                            <w:r>
                              <w:rPr>
                                <w:rFonts w:ascii="黑体" w:eastAsia="黑体" w:hAnsi="Arial Black" w:hint="eastAsia"/>
                                <w:color w:val="FFFFFF"/>
                                <w:sz w:val="28"/>
                              </w:rPr>
                              <w:fldChar w:fldCharType="end"/>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0.75pt;margin-top:7.8pt;width:178.55pt;height:31.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" filled="f" stroked="f">
                <v:textbo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786238">
                        <w:rPr>
                          <w:rFonts w:ascii="黑体" w:eastAsia="黑体" w:hAnsi="Arial Black" w:hint="eastAsia"/>
                          <w:noProof/>
                          <w:color w:val="FFFFFF"/>
                          <w:sz w:val="28"/>
                        </w:rPr>
                        <w:t>2021年6月4日星期五</w:t>
                      </w:r>
                      <w:r>
                        <w:rPr>
                          <w:rFonts w:ascii="黑体" w:eastAsia="黑体" w:hAnsi="Arial Black" w:hint="eastAsia"/>
                          <w:color w:val="FFFFFF"/>
                          <w:sz w:val="28"/>
                        </w:rPr>
                        <w:fldChar w:fldCharType="end"/>
                      </w:r>
                    </w:p>
                  </w:txbxContent>
                </v:textbox>
              </v:shape>
            </w:pict>
          </mc:Fallback>
        </mc:AlternateContent>
      </w:r>
      <w:r>
        <w:rPr>
          <w:rFonts w:ascii="黑体" w:eastAsia="黑体" w:hAnsi="宋体"/>
          <w:noProof/>
          <w:color w:val="FFFFFF"/>
          <w:sz w:val="28"/>
        </w:rPr>
        <mc:AlternateContent>
          <mc:Choice Requires="wps">
            <w:drawing>
              <wp:anchor distT="0" distB="0" distL="114300" distR="114300" simplePos="0" relativeHeight="251659264" behindDoc="1" locked="0" layoutInCell="1" allowOverlap="1">
                <wp:simplePos x="0" y="0"/>
                <wp:positionH relativeFrom="page">
                  <wp:posOffset>-669925</wp:posOffset>
                </wp:positionH>
                <wp:positionV relativeFrom="page">
                  <wp:posOffset>1179195</wp:posOffset>
                </wp:positionV>
                <wp:extent cx="8343900" cy="504190"/>
                <wp:effectExtent l="0" t="0" r="0" b="0"/>
                <wp:wrapNone/>
                <wp:docPr id="10" name="未知"/>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504190"/>
                        </a:xfrm>
                        <a:custGeom>
                          <a:avLst/>
                          <a:gdLst>
                            <a:gd name="T0" fmla="*/ 0 w 10880"/>
                            <a:gd name="T1" fmla="*/ 0 h 453"/>
                            <a:gd name="T2" fmla="*/ 0 w 10880"/>
                            <a:gd name="T3" fmla="*/ 453 h 453"/>
                            <a:gd name="T4" fmla="*/ 10880 w 10880"/>
                            <a:gd name="T5" fmla="*/ 453 h 453"/>
                            <a:gd name="T6" fmla="*/ 10880 w 10880"/>
                            <a:gd name="T7" fmla="*/ 0 h 453"/>
                            <a:gd name="T8" fmla="*/ 0 w 10880"/>
                            <a:gd name="T9" fmla="*/ 0 h 453"/>
                          </a:gdLst>
                          <a:ahLst/>
                          <a:cxnLst>
                            <a:cxn ang="0">
                              <a:pos x="T0" y="T1"/>
                            </a:cxn>
                            <a:cxn ang="0">
                              <a:pos x="T2" y="T3"/>
                            </a:cxn>
                            <a:cxn ang="0">
                              <a:pos x="T4" y="T5"/>
                            </a:cxn>
                            <a:cxn ang="0">
                              <a:pos x="T6" y="T7"/>
                            </a:cxn>
                            <a:cxn ang="0">
                              <a:pos x="T8" y="T9"/>
                            </a:cxn>
                          </a:cxnLst>
                          <a:rect l="0" t="0" r="r" b="b"/>
                          <a:pathLst>
                            <a:path w="10880" h="453">
                              <a:moveTo>
                                <a:pt x="0" y="0"/>
                              </a:moveTo>
                              <a:lnTo>
                                <a:pt x="0" y="453"/>
                              </a:lnTo>
                              <a:lnTo>
                                <a:pt x="10880" y="453"/>
                              </a:lnTo>
                              <a:lnTo>
                                <a:pt x="10880" y="0"/>
                              </a:lnTo>
                              <a:lnTo>
                                <a:pt x="0" y="0"/>
                              </a:lnTo>
                              <a:close/>
                            </a:path>
                          </a:pathLst>
                        </a:custGeom>
                        <a:solidFill>
                          <a:srgbClr val="CC0000">
                            <a:alpha val="74117"/>
                          </a:srgbClr>
                        </a:solidFill>
                        <a:ln>
                          <a:noFill/>
                        </a:ln>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未知" o:spid="_x0000_s1026" o:spt="100" style="position:absolute;left:0pt;margin-left:-52.75pt;margin-top:92.85pt;height:39.7pt;width:657pt;mso-position-horizontal-relative:page;mso-position-vertical-relative:page;z-index:-251657216;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&#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IQLqfPXAAAADQEAAA8AAAAAAAAAAQAgAAAAIgAAAGRy&#10;cy9kb3ducmV2LnhtbFBLAQIUABQAAAAIAIdO4kC8qOT1IwMAAPgHAAAOAAAAAAAAAAEAIAAAACYB&#10;AABkcnMvZTJvRG9jLnhtbFBLBQYAAAAABgAGAFkBAAC7BgAAAAA=&#10;" path="m0,0l0,453,10880,453,10880,0,0,0xe">
                <v:path o:connectlocs="0,0;0,504190;8343900,504190;8343900,0;0,0" o:connectangles="0,0,0,0,0"/>
                <v:fill on="t" opacity="48573f" focussize="0,0"/>
                <v:stroke on="f"/>
                <v:imagedata o:title=""/>
                <o:lock v:ext="edit" aspectratio="f"/>
              </v:shape>
            </w:pict>
          </mc:Fallback>
        </mc:AlternateContent>
      </w:r>
      <w:r>
        <w:rPr>
          <w:rFonts w:ascii="黑体" w:eastAsia="黑体" w:hAnsi="宋体" w:hint="eastAsia"/>
          <w:color w:val="FFFFFF"/>
          <w:sz w:val="28"/>
        </w:rPr>
        <w:t xml:space="preserve">研究院：0571-85165192，85058093 </w:t>
      </w:r>
    </w:p>
    <w:p w:rsidR="00CF6558" w:rsidRDefault="00653621">
      <w:pPr>
        <w:jc w:val="center"/>
        <w:rPr>
          <w:rFonts w:ascii="宋体" w:hAnsi="宋体"/>
          <w:b/>
          <w:sz w:val="30"/>
        </w:rPr>
      </w:pPr>
      <w:r>
        <w:rPr>
          <w:rFonts w:ascii="宋体" w:hAnsi="宋体" w:hint="eastAsia"/>
          <w:b/>
          <w:sz w:val="30"/>
        </w:rPr>
        <w:t>新世纪期货盘前交易提示（</w:t>
      </w:r>
      <w:r>
        <w:rPr>
          <w:rFonts w:ascii="宋体" w:hAnsi="宋体"/>
          <w:b/>
          <w:sz w:val="30"/>
        </w:rPr>
        <w:fldChar w:fldCharType="begin"/>
      </w:r>
      <w:r>
        <w:rPr>
          <w:rFonts w:ascii="宋体" w:hAnsi="宋体"/>
          <w:b/>
          <w:sz w:val="30"/>
        </w:rPr>
        <w:instrText xml:space="preserve"> TIME \@ "yyyy-M-d"</w:instrText>
      </w:r>
      <w:r>
        <w:rPr>
          <w:rFonts w:ascii="宋体" w:hAnsi="宋体"/>
          <w:b/>
          <w:sz w:val="30"/>
        </w:rPr>
        <w:fldChar w:fldCharType="separate"/>
      </w:r>
      <w:r w:rsidR="00786238">
        <w:rPr>
          <w:rFonts w:ascii="宋体" w:hAnsi="宋体"/>
          <w:b/>
          <w:noProof/>
          <w:sz w:val="30"/>
        </w:rPr>
        <w:t>2021-6-4</w:t>
      </w:r>
      <w:r>
        <w:rPr>
          <w:rFonts w:ascii="宋体" w:hAnsi="宋体"/>
          <w:b/>
          <w:sz w:val="30"/>
        </w:rPr>
        <w:fldChar w:fldCharType="end"/>
      </w:r>
      <w:r>
        <w:rPr>
          <w:rFonts w:ascii="宋体" w:hAnsi="宋体" w:hint="eastAsia"/>
          <w:b/>
          <w:sz w:val="30"/>
        </w:rPr>
        <w:t>）</w:t>
      </w:r>
    </w:p>
    <w:p w:rsidR="00CF6558" w:rsidRDefault="00653621">
      <w:pPr>
        <w:widowControl/>
        <w:numPr>
          <w:ilvl w:val="0"/>
          <w:numId w:val="1"/>
        </w:numPr>
        <w:spacing w:line="300" w:lineRule="auto"/>
        <w:jc w:val="left"/>
        <w:rPr>
          <w:sz w:val="24"/>
        </w:rPr>
      </w:pPr>
      <w:bookmarkStart w:id="0" w:name="OLE_LINK6"/>
      <w:bookmarkStart w:id="1" w:name="OLE_LINK7"/>
      <w:bookmarkStart w:id="2" w:name="OLE_LINK1"/>
      <w:r>
        <w:rPr>
          <w:rFonts w:hint="eastAsia"/>
          <w:sz w:val="24"/>
        </w:rPr>
        <w:t>市场点评</w:t>
      </w:r>
    </w:p>
    <w:tbl>
      <w:tblPr>
        <w:tblW w:w="10057" w:type="dxa"/>
        <w:jc w:val="center"/>
        <w:tblBorders>
          <w:top w:val="single" w:sz="12" w:space="0" w:color="FF0000"/>
          <w:bottom w:val="single" w:sz="12" w:space="0" w:color="FF0000"/>
          <w:insideH w:val="dashed" w:sz="4" w:space="0" w:color="FF0000"/>
          <w:insideV w:val="dashed" w:sz="4" w:space="0" w:color="FF0000"/>
        </w:tblBorders>
        <w:tblLayout w:type="fixed"/>
        <w:tblLook w:val="04A0" w:firstRow="1" w:lastRow="0" w:firstColumn="1" w:lastColumn="0" w:noHBand="0" w:noVBand="1"/>
      </w:tblPr>
      <w:tblGrid>
        <w:gridCol w:w="630"/>
        <w:gridCol w:w="924"/>
        <w:gridCol w:w="1123"/>
        <w:gridCol w:w="7380"/>
      </w:tblGrid>
      <w:tr w:rsidR="00CF6558" w:rsidRPr="00ED3265">
        <w:trPr>
          <w:trHeight w:val="1482"/>
          <w:jc w:val="center"/>
        </w:trPr>
        <w:tc>
          <w:tcPr>
            <w:tcW w:w="630" w:type="dxa"/>
            <w:vMerge w:val="restart"/>
            <w:vAlign w:val="center"/>
          </w:tcPr>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黑</w:t>
            </w:r>
          </w:p>
          <w:p w:rsidR="00CF6558" w:rsidRDefault="00653621">
            <w:pPr>
              <w:jc w:val="center"/>
              <w:rPr>
                <w:rFonts w:ascii="宋体" w:hAnsi="宋体"/>
                <w:b/>
                <w:sz w:val="24"/>
                <w:szCs w:val="21"/>
              </w:rPr>
            </w:pPr>
            <w:r>
              <w:rPr>
                <w:rFonts w:ascii="宋体" w:hAnsi="宋体" w:hint="eastAsia"/>
                <w:b/>
                <w:sz w:val="24"/>
                <w:szCs w:val="21"/>
              </w:rPr>
              <w:t>色</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业</w:t>
            </w:r>
          </w:p>
        </w:tc>
        <w:tc>
          <w:tcPr>
            <w:tcW w:w="924" w:type="dxa"/>
          </w:tcPr>
          <w:p w:rsidR="00CF6558" w:rsidRDefault="00CF6558">
            <w:pPr>
              <w:rPr>
                <w:rFonts w:ascii="宋体" w:hAnsi="宋体"/>
                <w:szCs w:val="21"/>
              </w:rPr>
            </w:pPr>
          </w:p>
          <w:p w:rsidR="00CF6558" w:rsidRDefault="00653621">
            <w:pPr>
              <w:jc w:val="center"/>
              <w:rPr>
                <w:rFonts w:ascii="宋体" w:hAnsi="宋体"/>
                <w:szCs w:val="21"/>
              </w:rPr>
            </w:pPr>
            <w:r>
              <w:rPr>
                <w:rFonts w:ascii="宋体" w:hAnsi="宋体" w:hint="eastAsia"/>
                <w:szCs w:val="21"/>
              </w:rPr>
              <w:t>螺纹</w:t>
            </w:r>
          </w:p>
        </w:tc>
        <w:tc>
          <w:tcPr>
            <w:tcW w:w="1123" w:type="dxa"/>
          </w:tcPr>
          <w:p w:rsidR="00CF6558" w:rsidRDefault="00CF6558"/>
          <w:p w:rsidR="00CF6558" w:rsidRDefault="0035210B" w:rsidP="0035210B">
            <w:pPr>
              <w:ind w:firstLineChars="100" w:firstLine="210"/>
            </w:pPr>
            <w:r>
              <w:rPr>
                <w:rFonts w:hint="eastAsia"/>
              </w:rPr>
              <w:t>短多</w:t>
            </w:r>
          </w:p>
        </w:tc>
        <w:tc>
          <w:tcPr>
            <w:tcW w:w="7380" w:type="dxa"/>
            <w:vMerge w:val="restart"/>
          </w:tcPr>
          <w:p w:rsidR="00786238" w:rsidRPr="00CF36E8" w:rsidRDefault="00653621" w:rsidP="0026279D">
            <w:pPr>
              <w:rPr>
                <w:rFonts w:ascii="宋体" w:hAnsi="宋体" w:cs="宋体"/>
                <w:sz w:val="18"/>
                <w:szCs w:val="18"/>
              </w:rPr>
            </w:pPr>
            <w:r w:rsidRPr="00CF36E8">
              <w:rPr>
                <w:rFonts w:ascii="宋体" w:hAnsi="宋体" w:cs="宋体" w:hint="eastAsia"/>
                <w:b/>
                <w:sz w:val="18"/>
                <w:szCs w:val="18"/>
              </w:rPr>
              <w:t>螺纹：</w:t>
            </w:r>
            <w:r w:rsidR="00786238" w:rsidRPr="00CF36E8">
              <w:rPr>
                <w:rFonts w:ascii="宋体" w:hAnsi="宋体" w:cs="宋体"/>
                <w:sz w:val="18"/>
                <w:szCs w:val="18"/>
              </w:rPr>
              <w:t>前期因高价受抑制的需求得以释放，螺纹需求有所回升。工信部</w:t>
            </w:r>
            <w:proofErr w:type="gramStart"/>
            <w:r w:rsidR="00786238" w:rsidRPr="00CF36E8">
              <w:rPr>
                <w:rFonts w:ascii="宋体" w:hAnsi="宋体" w:cs="宋体"/>
                <w:sz w:val="18"/>
                <w:szCs w:val="18"/>
              </w:rPr>
              <w:t>和发改委</w:t>
            </w:r>
            <w:proofErr w:type="gramEnd"/>
            <w:r w:rsidR="00786238" w:rsidRPr="00CF36E8">
              <w:rPr>
                <w:rFonts w:ascii="宋体" w:hAnsi="宋体" w:cs="宋体"/>
                <w:sz w:val="18"/>
                <w:szCs w:val="18"/>
              </w:rPr>
              <w:t>压减粗钢产量政策的落地是供给</w:t>
            </w:r>
            <w:proofErr w:type="gramStart"/>
            <w:r w:rsidR="00786238" w:rsidRPr="00CF36E8">
              <w:rPr>
                <w:rFonts w:ascii="宋体" w:hAnsi="宋体" w:cs="宋体"/>
                <w:sz w:val="18"/>
                <w:szCs w:val="18"/>
              </w:rPr>
              <w:t>端最大</w:t>
            </w:r>
            <w:proofErr w:type="gramEnd"/>
            <w:r w:rsidR="00786238" w:rsidRPr="00CF36E8">
              <w:rPr>
                <w:rFonts w:ascii="宋体" w:hAnsi="宋体" w:cs="宋体"/>
                <w:sz w:val="18"/>
                <w:szCs w:val="18"/>
              </w:rPr>
              <w:t>的变量，仍需关注政策端变化。目前现货</w:t>
            </w:r>
            <w:proofErr w:type="gramStart"/>
            <w:r w:rsidR="00786238" w:rsidRPr="00CF36E8">
              <w:rPr>
                <w:rFonts w:ascii="宋体" w:hAnsi="宋体" w:cs="宋体"/>
                <w:sz w:val="18"/>
                <w:szCs w:val="18"/>
              </w:rPr>
              <w:t>端利润</w:t>
            </w:r>
            <w:proofErr w:type="gramEnd"/>
            <w:r w:rsidR="00786238" w:rsidRPr="00CF36E8">
              <w:rPr>
                <w:rFonts w:ascii="宋体" w:hAnsi="宋体" w:cs="宋体"/>
                <w:sz w:val="18"/>
                <w:szCs w:val="18"/>
              </w:rPr>
              <w:t>迅速压缩至盈亏平衡线,现货氛围也有所企稳。本周螺纹</w:t>
            </w:r>
            <w:proofErr w:type="gramStart"/>
            <w:r w:rsidR="00786238" w:rsidRPr="00CF36E8">
              <w:rPr>
                <w:rFonts w:ascii="宋体" w:hAnsi="宋体" w:cs="宋体"/>
                <w:sz w:val="18"/>
                <w:szCs w:val="18"/>
              </w:rPr>
              <w:t>产量环</w:t>
            </w:r>
            <w:proofErr w:type="gramEnd"/>
            <w:r w:rsidR="00786238" w:rsidRPr="00CF36E8">
              <w:rPr>
                <w:rFonts w:ascii="宋体" w:hAnsi="宋体" w:cs="宋体"/>
                <w:sz w:val="18"/>
                <w:szCs w:val="18"/>
              </w:rPr>
              <w:t>比增加，其中短流程供应降幅较大；表观消费环比增加，库存正常去化。螺纹基本面仍维持紧平衡，需求季节性</w:t>
            </w:r>
            <w:proofErr w:type="gramStart"/>
            <w:r w:rsidR="00786238" w:rsidRPr="00CF36E8">
              <w:rPr>
                <w:rFonts w:ascii="宋体" w:hAnsi="宋体" w:cs="宋体"/>
                <w:sz w:val="18"/>
                <w:szCs w:val="18"/>
              </w:rPr>
              <w:t>走弱但短期</w:t>
            </w:r>
            <w:proofErr w:type="gramEnd"/>
            <w:r w:rsidR="00786238" w:rsidRPr="00CF36E8">
              <w:rPr>
                <w:rFonts w:ascii="宋体" w:hAnsi="宋体" w:cs="宋体"/>
                <w:sz w:val="18"/>
                <w:szCs w:val="18"/>
              </w:rPr>
              <w:t>略有反弹。自去年</w:t>
            </w:r>
            <w:proofErr w:type="gramStart"/>
            <w:r w:rsidR="00786238" w:rsidRPr="00CF36E8">
              <w:rPr>
                <w:rFonts w:ascii="宋体" w:hAnsi="宋体" w:cs="宋体"/>
                <w:sz w:val="18"/>
                <w:szCs w:val="18"/>
              </w:rPr>
              <w:t>年</w:t>
            </w:r>
            <w:proofErr w:type="gramEnd"/>
            <w:r w:rsidR="00786238" w:rsidRPr="00CF36E8">
              <w:rPr>
                <w:rFonts w:ascii="宋体" w:hAnsi="宋体" w:cs="宋体"/>
                <w:sz w:val="18"/>
                <w:szCs w:val="18"/>
              </w:rPr>
              <w:t>中以来，在地产收紧政策的约束下，整体拿地情况持续转差，2020年5—12月高基数效应下，预计地产新开工增速将大概率维持负增长，螺纹上方空间有限。</w:t>
            </w:r>
          </w:p>
          <w:p w:rsidR="00786238" w:rsidRPr="00CF36E8" w:rsidRDefault="00653621" w:rsidP="0026279D">
            <w:pPr>
              <w:rPr>
                <w:rFonts w:ascii="宋体" w:hAnsi="宋体" w:cs="宋体"/>
                <w:sz w:val="18"/>
                <w:szCs w:val="18"/>
              </w:rPr>
            </w:pPr>
            <w:r w:rsidRPr="00CF36E8">
              <w:rPr>
                <w:rFonts w:ascii="宋体" w:hAnsi="宋体" w:cs="宋体" w:hint="eastAsia"/>
                <w:b/>
                <w:sz w:val="18"/>
                <w:szCs w:val="18"/>
              </w:rPr>
              <w:t>铁矿</w:t>
            </w:r>
            <w:r w:rsidRPr="00CF36E8">
              <w:rPr>
                <w:rFonts w:ascii="宋体" w:hAnsi="宋体" w:cs="宋体" w:hint="eastAsia"/>
                <w:sz w:val="18"/>
                <w:szCs w:val="18"/>
              </w:rPr>
              <w:t>：</w:t>
            </w:r>
            <w:r w:rsidR="00786238" w:rsidRPr="00CF36E8">
              <w:rPr>
                <w:rFonts w:ascii="宋体" w:hAnsi="宋体" w:cs="宋体"/>
                <w:sz w:val="18"/>
                <w:szCs w:val="18"/>
              </w:rPr>
              <w:t>供应端，澳洲巴西上周发运大幅回落，</w:t>
            </w:r>
            <w:proofErr w:type="gramStart"/>
            <w:r w:rsidR="00786238" w:rsidRPr="00CF36E8">
              <w:rPr>
                <w:rFonts w:ascii="宋体" w:hAnsi="宋体" w:cs="宋体"/>
                <w:sz w:val="18"/>
                <w:szCs w:val="18"/>
              </w:rPr>
              <w:t>到港也环比</w:t>
            </w:r>
            <w:proofErr w:type="gramEnd"/>
            <w:r w:rsidR="00786238" w:rsidRPr="00CF36E8">
              <w:rPr>
                <w:rFonts w:ascii="宋体" w:hAnsi="宋体" w:cs="宋体"/>
                <w:sz w:val="18"/>
                <w:szCs w:val="18"/>
              </w:rPr>
              <w:t>上周大幅回落，供应压力或有缓解。高品、中品</w:t>
            </w:r>
            <w:proofErr w:type="gramStart"/>
            <w:r w:rsidR="00786238" w:rsidRPr="00CF36E8">
              <w:rPr>
                <w:rFonts w:ascii="宋体" w:hAnsi="宋体" w:cs="宋体"/>
                <w:sz w:val="18"/>
                <w:szCs w:val="18"/>
              </w:rPr>
              <w:t>矿下跌</w:t>
            </w:r>
            <w:proofErr w:type="gramEnd"/>
            <w:r w:rsidR="00786238" w:rsidRPr="00CF36E8">
              <w:rPr>
                <w:rFonts w:ascii="宋体" w:hAnsi="宋体" w:cs="宋体"/>
                <w:sz w:val="18"/>
                <w:szCs w:val="18"/>
              </w:rPr>
              <w:t>幅度同步扩大，现货市场稳定性受到明显削弱。限产初期，钢厂高炉需求受影响强烈，但随后大部分合</w:t>
            </w:r>
            <w:proofErr w:type="gramStart"/>
            <w:r w:rsidR="00786238" w:rsidRPr="00CF36E8">
              <w:rPr>
                <w:rFonts w:ascii="宋体" w:hAnsi="宋体" w:cs="宋体"/>
                <w:sz w:val="18"/>
                <w:szCs w:val="18"/>
              </w:rPr>
              <w:t>规</w:t>
            </w:r>
            <w:proofErr w:type="gramEnd"/>
            <w:r w:rsidR="00786238" w:rsidRPr="00CF36E8">
              <w:rPr>
                <w:rFonts w:ascii="宋体" w:hAnsi="宋体" w:cs="宋体"/>
                <w:sz w:val="18"/>
                <w:szCs w:val="18"/>
              </w:rPr>
              <w:t>产能复苏，铁水产量先抑后扬，目前钢厂铁水产量持续增长，唐山限产造成的冲击极小，铁矿近期较强势，近期钢厂主动检修增加，预计铁水增量放缓，后续关注限产是否加码。</w:t>
            </w:r>
          </w:p>
          <w:p w:rsidR="00CF6558" w:rsidRPr="00724099" w:rsidRDefault="00653621" w:rsidP="0026279D">
            <w:pPr>
              <w:rPr>
                <w:rFonts w:ascii="宋体" w:hAnsi="宋体" w:cs="宋体"/>
                <w:bCs/>
                <w:sz w:val="18"/>
                <w:szCs w:val="18"/>
              </w:rPr>
            </w:pPr>
            <w:r>
              <w:rPr>
                <w:rFonts w:ascii="宋体" w:hAnsi="宋体" w:cs="宋体" w:hint="eastAsia"/>
                <w:b/>
                <w:sz w:val="18"/>
                <w:szCs w:val="18"/>
              </w:rPr>
              <w:t>动力煤</w:t>
            </w:r>
            <w:r>
              <w:rPr>
                <w:rFonts w:ascii="宋体" w:hAnsi="宋体" w:cs="宋体" w:hint="eastAsia"/>
                <w:bCs/>
                <w:sz w:val="18"/>
                <w:szCs w:val="18"/>
              </w:rPr>
              <w:t>：</w:t>
            </w:r>
            <w:r w:rsidR="00CF36E8" w:rsidRPr="00CF36E8">
              <w:rPr>
                <w:rFonts w:ascii="宋体" w:hAnsi="宋体" w:cs="宋体" w:hint="eastAsia"/>
                <w:sz w:val="18"/>
                <w:szCs w:val="18"/>
              </w:rPr>
              <w:t>现货端产地煤价销售火热，6月煤管票更新，正常产销。港口：环渤海，库存2491.9（+13.3）小幅下降。部分贸易商止盈出货为主，</w:t>
            </w:r>
            <w:proofErr w:type="gramStart"/>
            <w:r w:rsidR="00CF36E8" w:rsidRPr="00CF36E8">
              <w:rPr>
                <w:rFonts w:ascii="宋体" w:hAnsi="宋体" w:cs="宋体" w:hint="eastAsia"/>
                <w:sz w:val="18"/>
                <w:szCs w:val="18"/>
              </w:rPr>
              <w:t>下游对</w:t>
            </w:r>
            <w:proofErr w:type="gramEnd"/>
            <w:r w:rsidR="00CF36E8" w:rsidRPr="00CF36E8">
              <w:rPr>
                <w:rFonts w:ascii="宋体" w:hAnsi="宋体" w:cs="宋体" w:hint="eastAsia"/>
                <w:sz w:val="18"/>
                <w:szCs w:val="18"/>
              </w:rPr>
              <w:t>价格接受度尚可，不断来问价。需求方面：南方地区气温开始回升，用电负荷攀升，日耗开始增加。但电厂还是对煤价有抵触，只</w:t>
            </w:r>
            <w:proofErr w:type="gramStart"/>
            <w:r w:rsidR="00CF36E8" w:rsidRPr="00CF36E8">
              <w:rPr>
                <w:rFonts w:ascii="宋体" w:hAnsi="宋体" w:cs="宋体" w:hint="eastAsia"/>
                <w:sz w:val="18"/>
                <w:szCs w:val="18"/>
              </w:rPr>
              <w:t>保持刚需采购</w:t>
            </w:r>
            <w:proofErr w:type="gramEnd"/>
            <w:r w:rsidR="00CF36E8" w:rsidRPr="00CF36E8">
              <w:rPr>
                <w:rFonts w:ascii="宋体" w:hAnsi="宋体" w:cs="宋体" w:hint="eastAsia"/>
                <w:sz w:val="18"/>
                <w:szCs w:val="18"/>
              </w:rPr>
              <w:t>。从沿海八省电厂整体库存仍没有多少改善，维持在12-13天左右，库存仍旧在较低位置。“迎峰度夏”旺季来临，下游电厂库存愈发紧张，补库任务较重。整体来看：虽受政策面影响，使得煤价回归理性，但是供应端的弹性不足，增产和开放露天矿等系列增产措施也没有实际落地，港口这边随着一轮降价调整，价格逐渐被认可，交易逐渐开始增多，需求端对煤价有较强支撑力，操作上建议谨慎持有多单，持续关注具体增产政策落地。</w:t>
            </w:r>
          </w:p>
        </w:tc>
      </w:tr>
      <w:tr w:rsidR="00CF6558">
        <w:trPr>
          <w:trHeight w:val="105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铁矿石</w:t>
            </w:r>
          </w:p>
        </w:tc>
        <w:tc>
          <w:tcPr>
            <w:tcW w:w="1123" w:type="dxa"/>
            <w:vAlign w:val="center"/>
          </w:tcPr>
          <w:p w:rsidR="00CF6558" w:rsidRDefault="0035210B" w:rsidP="00772C27">
            <w:pPr>
              <w:ind w:firstLineChars="100" w:firstLine="210"/>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61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ind w:firstLineChars="50" w:firstLine="105"/>
              <w:rPr>
                <w:rFonts w:ascii="宋体" w:hAnsi="宋体"/>
                <w:szCs w:val="21"/>
              </w:rPr>
            </w:pPr>
            <w:r>
              <w:rPr>
                <w:rFonts w:ascii="宋体" w:hAnsi="宋体" w:hint="eastAsia"/>
                <w:szCs w:val="21"/>
              </w:rPr>
              <w:t>焦煤</w:t>
            </w:r>
          </w:p>
        </w:tc>
        <w:tc>
          <w:tcPr>
            <w:tcW w:w="1123" w:type="dxa"/>
            <w:vAlign w:val="center"/>
          </w:tcPr>
          <w:p w:rsidR="00CF6558" w:rsidRDefault="0035210B" w:rsidP="00772C27">
            <w:pPr>
              <w:ind w:firstLineChars="100" w:firstLine="210"/>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焦炭</w:t>
            </w:r>
          </w:p>
        </w:tc>
        <w:tc>
          <w:tcPr>
            <w:tcW w:w="1123" w:type="dxa"/>
            <w:vAlign w:val="center"/>
          </w:tcPr>
          <w:p w:rsidR="00CF6558" w:rsidRDefault="0035210B">
            <w:pPr>
              <w:widowControl/>
              <w:jc w:val="center"/>
              <w:rPr>
                <w:rFonts w:ascii="宋体" w:hAnsi="宋体"/>
                <w:szCs w:val="21"/>
              </w:rPr>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动力煤</w:t>
            </w:r>
          </w:p>
        </w:tc>
        <w:tc>
          <w:tcPr>
            <w:tcW w:w="1123" w:type="dxa"/>
            <w:vAlign w:val="center"/>
          </w:tcPr>
          <w:p w:rsidR="00CF6558" w:rsidRDefault="00185749">
            <w:pPr>
              <w:jc w:val="center"/>
              <w:rPr>
                <w:rFonts w:ascii="宋体" w:hAnsi="宋体"/>
                <w:kern w:val="0"/>
                <w:szCs w:val="21"/>
              </w:rPr>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1905"/>
          <w:jc w:val="center"/>
        </w:trPr>
        <w:tc>
          <w:tcPr>
            <w:tcW w:w="630" w:type="dxa"/>
            <w:vMerge w:val="restart"/>
            <w:vAlign w:val="center"/>
          </w:tcPr>
          <w:p w:rsidR="00CF6558" w:rsidRDefault="00653621">
            <w:pPr>
              <w:jc w:val="center"/>
              <w:rPr>
                <w:rFonts w:ascii="宋体" w:hAnsi="宋体"/>
                <w:b/>
                <w:sz w:val="24"/>
                <w:szCs w:val="21"/>
              </w:rPr>
            </w:pPr>
            <w:r>
              <w:rPr>
                <w:rFonts w:ascii="宋体" w:hAnsi="宋体" w:hint="eastAsia"/>
                <w:b/>
                <w:sz w:val="24"/>
                <w:szCs w:val="21"/>
              </w:rPr>
              <w:t>有色金属</w:t>
            </w:r>
          </w:p>
        </w:tc>
        <w:tc>
          <w:tcPr>
            <w:tcW w:w="924" w:type="dxa"/>
            <w:vAlign w:val="center"/>
          </w:tcPr>
          <w:p w:rsidR="00CF6558" w:rsidRDefault="00653621">
            <w:pPr>
              <w:jc w:val="center"/>
              <w:rPr>
                <w:rFonts w:ascii="宋体" w:hAnsi="宋体"/>
                <w:szCs w:val="21"/>
              </w:rPr>
            </w:pPr>
            <w:r>
              <w:rPr>
                <w:rFonts w:ascii="宋体" w:hAnsi="宋体" w:hint="eastAsia"/>
                <w:szCs w:val="21"/>
              </w:rPr>
              <w:t>铜</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val="restart"/>
          </w:tcPr>
          <w:p w:rsidR="00CF36E8" w:rsidRPr="00CF36E8" w:rsidRDefault="00200790" w:rsidP="00CF36E8">
            <w:pPr>
              <w:rPr>
                <w:rFonts w:ascii="宋体" w:hAnsi="宋体" w:cs="宋体" w:hint="eastAsia"/>
                <w:sz w:val="18"/>
                <w:szCs w:val="18"/>
              </w:rPr>
            </w:pPr>
            <w:r w:rsidRPr="00200790">
              <w:rPr>
                <w:rFonts w:ascii="宋体" w:hAnsi="宋体" w:cs="宋体" w:hint="eastAsia"/>
                <w:b/>
                <w:sz w:val="18"/>
                <w:szCs w:val="18"/>
              </w:rPr>
              <w:t>铜：</w:t>
            </w:r>
            <w:r w:rsidR="00CF36E8" w:rsidRPr="00CF36E8">
              <w:rPr>
                <w:rFonts w:ascii="宋体" w:hAnsi="宋体" w:cs="宋体" w:hint="eastAsia"/>
                <w:sz w:val="18"/>
                <w:szCs w:val="18"/>
              </w:rPr>
              <w:t>商务部出手保供稳价 美联储通胀压力上升  沪铜低开震荡</w:t>
            </w:r>
          </w:p>
          <w:p w:rsidR="00CF36E8" w:rsidRPr="00CF36E8" w:rsidRDefault="00CF36E8" w:rsidP="00CF36E8">
            <w:pPr>
              <w:rPr>
                <w:rFonts w:ascii="宋体" w:hAnsi="宋体" w:cs="宋体" w:hint="eastAsia"/>
                <w:sz w:val="18"/>
                <w:szCs w:val="18"/>
              </w:rPr>
            </w:pPr>
            <w:r w:rsidRPr="00CF36E8">
              <w:rPr>
                <w:rFonts w:ascii="宋体" w:hAnsi="宋体" w:cs="宋体" w:hint="eastAsia"/>
                <w:sz w:val="18"/>
                <w:szCs w:val="18"/>
              </w:rPr>
              <w:t>从供应端来看，虽然我们预期全球铜矿产量将有所增加，但在疫情、劳资谈判等因素的扰动下，2021 年全球的铜矿供应仍有较大的不确定性；从消费端来看，在当前步入消费旺季且叠加碳中和大背景的情况下，铜下游消费的企稳回升对铜价的拉升效用正在显现；整体而言，供应端的持续收紧与需求端的稳步复苏将对铜价形成上涨支撑。</w:t>
            </w:r>
          </w:p>
          <w:p w:rsidR="00CF36E8" w:rsidRDefault="00CF36E8" w:rsidP="00CF36E8">
            <w:pPr>
              <w:rPr>
                <w:rFonts w:ascii="宋体" w:hAnsi="宋体" w:cs="宋体"/>
                <w:sz w:val="18"/>
                <w:szCs w:val="18"/>
              </w:rPr>
            </w:pPr>
            <w:r w:rsidRPr="00CF36E8">
              <w:rPr>
                <w:rFonts w:ascii="宋体" w:hAnsi="宋体" w:cs="宋体" w:hint="eastAsia"/>
                <w:sz w:val="18"/>
                <w:szCs w:val="18"/>
              </w:rPr>
              <w:t>关注亚太地区的疫情变化、碳中和与新能源汽车以及中美两国的基建对</w:t>
            </w:r>
            <w:proofErr w:type="gramStart"/>
            <w:r w:rsidRPr="00CF36E8">
              <w:rPr>
                <w:rFonts w:ascii="宋体" w:hAnsi="宋体" w:cs="宋体" w:hint="eastAsia"/>
                <w:sz w:val="18"/>
                <w:szCs w:val="18"/>
              </w:rPr>
              <w:t>铜需求</w:t>
            </w:r>
            <w:proofErr w:type="gramEnd"/>
            <w:r w:rsidRPr="00CF36E8">
              <w:rPr>
                <w:rFonts w:ascii="宋体" w:hAnsi="宋体" w:cs="宋体" w:hint="eastAsia"/>
                <w:sz w:val="18"/>
                <w:szCs w:val="18"/>
              </w:rPr>
              <w:t>的拉动影响、美联储的货币政策变化、美国基建计划的变数、智利与秘鲁的矿业政治风险、智利的罢工、国家监管层对大宗商品价格的持续政策调控</w:t>
            </w:r>
          </w:p>
          <w:p w:rsidR="00CF36E8" w:rsidRPr="00CF36E8" w:rsidRDefault="00200790" w:rsidP="00CF36E8">
            <w:pPr>
              <w:rPr>
                <w:rFonts w:ascii="宋体" w:hAnsi="宋体" w:cs="宋体" w:hint="eastAsia"/>
                <w:sz w:val="18"/>
                <w:szCs w:val="18"/>
              </w:rPr>
            </w:pPr>
            <w:r w:rsidRPr="00200790">
              <w:rPr>
                <w:rFonts w:ascii="宋体" w:hAnsi="宋体" w:cs="宋体" w:hint="eastAsia"/>
                <w:b/>
                <w:sz w:val="18"/>
                <w:szCs w:val="18"/>
              </w:rPr>
              <w:t>铝：</w:t>
            </w:r>
            <w:r w:rsidR="00CF36E8" w:rsidRPr="00CF36E8">
              <w:rPr>
                <w:rFonts w:ascii="宋体" w:hAnsi="宋体" w:cs="宋体" w:hint="eastAsia"/>
                <w:sz w:val="18"/>
                <w:szCs w:val="18"/>
              </w:rPr>
              <w:t xml:space="preserve">供应扰动 VS 抛储传闻  </w:t>
            </w:r>
            <w:proofErr w:type="gramStart"/>
            <w:r w:rsidR="00CF36E8" w:rsidRPr="00CF36E8">
              <w:rPr>
                <w:rFonts w:ascii="宋体" w:hAnsi="宋体" w:cs="宋体" w:hint="eastAsia"/>
                <w:sz w:val="18"/>
                <w:szCs w:val="18"/>
              </w:rPr>
              <w:t>沪铝冲高</w:t>
            </w:r>
            <w:proofErr w:type="gramEnd"/>
            <w:r w:rsidR="00CF36E8" w:rsidRPr="00CF36E8">
              <w:rPr>
                <w:rFonts w:ascii="宋体" w:hAnsi="宋体" w:cs="宋体" w:hint="eastAsia"/>
                <w:sz w:val="18"/>
                <w:szCs w:val="18"/>
              </w:rPr>
              <w:t>回落</w:t>
            </w:r>
          </w:p>
          <w:p w:rsidR="00CF36E8" w:rsidRPr="00CF36E8" w:rsidRDefault="00CF36E8" w:rsidP="00CF36E8">
            <w:pPr>
              <w:rPr>
                <w:rFonts w:ascii="宋体" w:hAnsi="宋体" w:cs="宋体" w:hint="eastAsia"/>
                <w:sz w:val="18"/>
                <w:szCs w:val="18"/>
              </w:rPr>
            </w:pPr>
            <w:r w:rsidRPr="00CF36E8">
              <w:rPr>
                <w:rFonts w:ascii="宋体" w:hAnsi="宋体" w:cs="宋体" w:hint="eastAsia"/>
                <w:sz w:val="18"/>
                <w:szCs w:val="18"/>
              </w:rPr>
              <w:t>从当前的下游消费需求来看，当前，下游消费复苏明显；从当前社会库存变化来看，拐头迹</w:t>
            </w:r>
            <w:r w:rsidRPr="00CF36E8">
              <w:rPr>
                <w:rFonts w:ascii="宋体" w:hAnsi="宋体" w:cs="宋体" w:hint="eastAsia"/>
                <w:sz w:val="18"/>
                <w:szCs w:val="18"/>
              </w:rPr>
              <w:lastRenderedPageBreak/>
              <w:t>象已非常明显，旺季去</w:t>
            </w:r>
            <w:proofErr w:type="gramStart"/>
            <w:r w:rsidRPr="00CF36E8">
              <w:rPr>
                <w:rFonts w:ascii="宋体" w:hAnsi="宋体" w:cs="宋体" w:hint="eastAsia"/>
                <w:sz w:val="18"/>
                <w:szCs w:val="18"/>
              </w:rPr>
              <w:t>库依然</w:t>
            </w:r>
            <w:proofErr w:type="gramEnd"/>
            <w:r w:rsidRPr="00CF36E8">
              <w:rPr>
                <w:rFonts w:ascii="宋体" w:hAnsi="宋体" w:cs="宋体" w:hint="eastAsia"/>
                <w:sz w:val="18"/>
                <w:szCs w:val="18"/>
              </w:rPr>
              <w:t>可期，此外，在碳排放-碳中和相关政策利好下，电解</w:t>
            </w:r>
            <w:proofErr w:type="gramStart"/>
            <w:r w:rsidRPr="00CF36E8">
              <w:rPr>
                <w:rFonts w:ascii="宋体" w:hAnsi="宋体" w:cs="宋体" w:hint="eastAsia"/>
                <w:sz w:val="18"/>
                <w:szCs w:val="18"/>
              </w:rPr>
              <w:t>铝供应</w:t>
            </w:r>
            <w:proofErr w:type="gramEnd"/>
            <w:r w:rsidRPr="00CF36E8">
              <w:rPr>
                <w:rFonts w:ascii="宋体" w:hAnsi="宋体" w:cs="宋体" w:hint="eastAsia"/>
                <w:sz w:val="18"/>
                <w:szCs w:val="18"/>
              </w:rPr>
              <w:t>干扰提升，这将对铝价形成利多支撑。</w:t>
            </w:r>
          </w:p>
          <w:p w:rsidR="00CF36E8" w:rsidRDefault="00CF36E8" w:rsidP="00CF36E8">
            <w:pPr>
              <w:rPr>
                <w:rFonts w:ascii="宋体" w:hAnsi="宋体" w:cs="宋体"/>
                <w:sz w:val="18"/>
                <w:szCs w:val="18"/>
              </w:rPr>
            </w:pPr>
            <w:proofErr w:type="gramStart"/>
            <w:r w:rsidRPr="00CF36E8">
              <w:rPr>
                <w:rFonts w:ascii="宋体" w:hAnsi="宋体" w:cs="宋体" w:hint="eastAsia"/>
                <w:sz w:val="18"/>
                <w:szCs w:val="18"/>
              </w:rPr>
              <w:t>关注秋碳中和与碳达峰</w:t>
            </w:r>
            <w:proofErr w:type="gramEnd"/>
            <w:r w:rsidRPr="00CF36E8">
              <w:rPr>
                <w:rFonts w:ascii="宋体" w:hAnsi="宋体" w:cs="宋体" w:hint="eastAsia"/>
                <w:sz w:val="18"/>
                <w:szCs w:val="18"/>
              </w:rPr>
              <w:t>对运行产能与新增产能投放的影响、交易所的库存变化与消费的变化、新能源车的发展、内蒙能耗双控的影响、云南限电对炼厂的影响</w:t>
            </w:r>
          </w:p>
          <w:p w:rsidR="00CF36E8" w:rsidRPr="00CF36E8" w:rsidRDefault="00200790" w:rsidP="00CF36E8">
            <w:pPr>
              <w:rPr>
                <w:rFonts w:ascii="宋体" w:hAnsi="宋体" w:cs="宋体" w:hint="eastAsia"/>
                <w:sz w:val="18"/>
                <w:szCs w:val="18"/>
              </w:rPr>
            </w:pPr>
            <w:r w:rsidRPr="00200790">
              <w:rPr>
                <w:rFonts w:ascii="宋体" w:hAnsi="宋体" w:cs="宋体" w:hint="eastAsia"/>
                <w:b/>
                <w:sz w:val="18"/>
                <w:szCs w:val="18"/>
              </w:rPr>
              <w:t>锌：</w:t>
            </w:r>
            <w:r w:rsidR="00CF36E8" w:rsidRPr="00CF36E8">
              <w:rPr>
                <w:rFonts w:ascii="宋体" w:hAnsi="宋体" w:cs="宋体" w:hint="eastAsia"/>
                <w:sz w:val="18"/>
                <w:szCs w:val="18"/>
              </w:rPr>
              <w:t xml:space="preserve">5月精锌产量不及预期 VS 消费惯性降温  </w:t>
            </w:r>
            <w:proofErr w:type="gramStart"/>
            <w:r w:rsidR="00CF36E8" w:rsidRPr="00CF36E8">
              <w:rPr>
                <w:rFonts w:ascii="宋体" w:hAnsi="宋体" w:cs="宋体" w:hint="eastAsia"/>
                <w:sz w:val="18"/>
                <w:szCs w:val="18"/>
              </w:rPr>
              <w:t>沪锌冲高</w:t>
            </w:r>
            <w:proofErr w:type="gramEnd"/>
            <w:r w:rsidR="00CF36E8" w:rsidRPr="00CF36E8">
              <w:rPr>
                <w:rFonts w:ascii="宋体" w:hAnsi="宋体" w:cs="宋体" w:hint="eastAsia"/>
                <w:sz w:val="18"/>
                <w:szCs w:val="18"/>
              </w:rPr>
              <w:t>回落</w:t>
            </w:r>
          </w:p>
          <w:p w:rsidR="00CF36E8" w:rsidRPr="00CF36E8" w:rsidRDefault="00CF36E8" w:rsidP="00CF36E8">
            <w:pPr>
              <w:rPr>
                <w:rFonts w:ascii="宋体" w:hAnsi="宋体" w:cs="宋体" w:hint="eastAsia"/>
                <w:sz w:val="18"/>
                <w:szCs w:val="18"/>
              </w:rPr>
            </w:pPr>
            <w:r w:rsidRPr="00CF36E8">
              <w:rPr>
                <w:rFonts w:ascii="宋体" w:hAnsi="宋体" w:cs="宋体" w:hint="eastAsia"/>
                <w:sz w:val="18"/>
                <w:szCs w:val="18"/>
              </w:rPr>
              <w:t>在继云南限电之后，广西也开始了限电，这将影响精锌供应近1.5万吨,此外，虽然镀锌与锌合金的消费旺季即将结束，但随着中美欧经济的持续错峰复苏，锌将在接下去的消费淡季呈现淡季不淡的情形。</w:t>
            </w:r>
          </w:p>
          <w:p w:rsidR="00CF36E8" w:rsidRDefault="00CF36E8" w:rsidP="00CF36E8">
            <w:pPr>
              <w:rPr>
                <w:rFonts w:ascii="宋体" w:hAnsi="宋体" w:cs="宋体"/>
                <w:sz w:val="18"/>
                <w:szCs w:val="18"/>
              </w:rPr>
            </w:pPr>
            <w:r w:rsidRPr="00CF36E8">
              <w:rPr>
                <w:rFonts w:ascii="宋体" w:hAnsi="宋体" w:cs="宋体" w:hint="eastAsia"/>
                <w:sz w:val="18"/>
                <w:szCs w:val="18"/>
              </w:rPr>
              <w:t>关注加工费的持续下滑与</w:t>
            </w:r>
            <w:proofErr w:type="gramStart"/>
            <w:r w:rsidRPr="00CF36E8">
              <w:rPr>
                <w:rFonts w:ascii="宋体" w:hAnsi="宋体" w:cs="宋体" w:hint="eastAsia"/>
                <w:sz w:val="18"/>
                <w:szCs w:val="18"/>
              </w:rPr>
              <w:t>矿端供应</w:t>
            </w:r>
            <w:proofErr w:type="gramEnd"/>
            <w:r w:rsidRPr="00CF36E8">
              <w:rPr>
                <w:rFonts w:ascii="宋体" w:hAnsi="宋体" w:cs="宋体" w:hint="eastAsia"/>
                <w:sz w:val="18"/>
                <w:szCs w:val="18"/>
              </w:rPr>
              <w:t>收紧、炼厂的检修计划、下游的开工率与产能利用率、下游的环保限产情况、美国基建的变数、内蒙能耗双控的影响、云南限电对炼厂的影响、下游的消费需求变化</w:t>
            </w:r>
          </w:p>
          <w:p w:rsidR="00CF36E8" w:rsidRPr="00CF36E8" w:rsidRDefault="00200790" w:rsidP="00CF36E8">
            <w:pPr>
              <w:rPr>
                <w:rFonts w:ascii="宋体" w:hAnsi="宋体" w:cs="宋体" w:hint="eastAsia"/>
                <w:sz w:val="18"/>
                <w:szCs w:val="18"/>
              </w:rPr>
            </w:pPr>
            <w:r w:rsidRPr="00200790">
              <w:rPr>
                <w:rFonts w:ascii="宋体" w:hAnsi="宋体" w:cs="宋体" w:hint="eastAsia"/>
                <w:b/>
                <w:sz w:val="18"/>
                <w:szCs w:val="18"/>
              </w:rPr>
              <w:t>铅</w:t>
            </w:r>
            <w:r w:rsidRPr="00200790">
              <w:rPr>
                <w:rFonts w:ascii="宋体" w:hAnsi="宋体" w:cs="宋体" w:hint="eastAsia"/>
                <w:sz w:val="18"/>
                <w:szCs w:val="18"/>
              </w:rPr>
              <w:t>：</w:t>
            </w:r>
            <w:r w:rsidR="00CF36E8" w:rsidRPr="00CF36E8">
              <w:rPr>
                <w:rFonts w:ascii="宋体" w:hAnsi="宋体" w:cs="宋体" w:hint="eastAsia"/>
                <w:sz w:val="18"/>
                <w:szCs w:val="18"/>
              </w:rPr>
              <w:t xml:space="preserve">炼厂出货积极性下降 下游观望氛围持续  </w:t>
            </w:r>
            <w:proofErr w:type="gramStart"/>
            <w:r w:rsidR="00CF36E8" w:rsidRPr="00CF36E8">
              <w:rPr>
                <w:rFonts w:ascii="宋体" w:hAnsi="宋体" w:cs="宋体" w:hint="eastAsia"/>
                <w:sz w:val="18"/>
                <w:szCs w:val="18"/>
              </w:rPr>
              <w:t>沪铅震荡</w:t>
            </w:r>
            <w:proofErr w:type="gramEnd"/>
            <w:r w:rsidR="00CF36E8" w:rsidRPr="00CF36E8">
              <w:rPr>
                <w:rFonts w:ascii="宋体" w:hAnsi="宋体" w:cs="宋体" w:hint="eastAsia"/>
                <w:sz w:val="18"/>
                <w:szCs w:val="18"/>
              </w:rPr>
              <w:t>下行</w:t>
            </w:r>
          </w:p>
          <w:p w:rsidR="00CF36E8" w:rsidRPr="00CF36E8" w:rsidRDefault="00CF36E8" w:rsidP="00CF36E8">
            <w:pPr>
              <w:rPr>
                <w:rFonts w:ascii="宋体" w:hAnsi="宋体" w:cs="宋体" w:hint="eastAsia"/>
                <w:sz w:val="18"/>
                <w:szCs w:val="18"/>
              </w:rPr>
            </w:pPr>
            <w:r w:rsidRPr="00CF36E8">
              <w:rPr>
                <w:rFonts w:ascii="宋体" w:hAnsi="宋体" w:cs="宋体" w:hint="eastAsia"/>
                <w:sz w:val="18"/>
                <w:szCs w:val="18"/>
              </w:rPr>
              <w:t>虽然</w:t>
            </w:r>
            <w:proofErr w:type="gramStart"/>
            <w:r w:rsidRPr="00CF36E8">
              <w:rPr>
                <w:rFonts w:ascii="宋体" w:hAnsi="宋体" w:cs="宋体" w:hint="eastAsia"/>
                <w:sz w:val="18"/>
                <w:szCs w:val="18"/>
              </w:rPr>
              <w:t>矿端供应</w:t>
            </w:r>
            <w:proofErr w:type="gramEnd"/>
            <w:r w:rsidRPr="00CF36E8">
              <w:rPr>
                <w:rFonts w:ascii="宋体" w:hAnsi="宋体" w:cs="宋体" w:hint="eastAsia"/>
                <w:sz w:val="18"/>
                <w:szCs w:val="18"/>
              </w:rPr>
              <w:t>略微偏紧，但炼厂供应压力有所下降，短期的铅价有所上扬，不过在下游需求未见好转的情况下，铅价上行动能不强，或将回归下行趋势。</w:t>
            </w:r>
          </w:p>
          <w:p w:rsidR="00CF36E8" w:rsidRDefault="00CF36E8" w:rsidP="00CF36E8">
            <w:pPr>
              <w:rPr>
                <w:rFonts w:ascii="宋体" w:hAnsi="宋体" w:cs="宋体"/>
                <w:sz w:val="18"/>
                <w:szCs w:val="18"/>
              </w:rPr>
            </w:pPr>
            <w:r w:rsidRPr="00CF36E8">
              <w:rPr>
                <w:rFonts w:ascii="宋体" w:hAnsi="宋体" w:cs="宋体" w:hint="eastAsia"/>
                <w:sz w:val="18"/>
                <w:szCs w:val="18"/>
              </w:rPr>
              <w:t>关注秘鲁疫情防控措施对铅矿供应的影响、原生铅与再生铅的供应变化、下游汽车消费需求与电动自行车的消费需求变化、</w:t>
            </w:r>
            <w:proofErr w:type="gramStart"/>
            <w:r w:rsidRPr="00CF36E8">
              <w:rPr>
                <w:rFonts w:ascii="宋体" w:hAnsi="宋体" w:cs="宋体" w:hint="eastAsia"/>
                <w:sz w:val="18"/>
                <w:szCs w:val="18"/>
              </w:rPr>
              <w:t>下游蓄企的</w:t>
            </w:r>
            <w:proofErr w:type="gramEnd"/>
            <w:r w:rsidRPr="00CF36E8">
              <w:rPr>
                <w:rFonts w:ascii="宋体" w:hAnsi="宋体" w:cs="宋体" w:hint="eastAsia"/>
                <w:sz w:val="18"/>
                <w:szCs w:val="18"/>
              </w:rPr>
              <w:t>备货情况、内蒙减产计划</w:t>
            </w:r>
          </w:p>
          <w:p w:rsidR="00CF36E8" w:rsidRPr="00CF36E8" w:rsidRDefault="00200790" w:rsidP="00CF36E8">
            <w:pPr>
              <w:rPr>
                <w:rFonts w:ascii="宋体" w:hAnsi="宋体" w:cs="宋体" w:hint="eastAsia"/>
                <w:sz w:val="18"/>
                <w:szCs w:val="18"/>
              </w:rPr>
            </w:pPr>
            <w:r w:rsidRPr="00200790">
              <w:rPr>
                <w:rFonts w:ascii="宋体" w:hAnsi="宋体" w:cs="宋体" w:hint="eastAsia"/>
                <w:b/>
                <w:sz w:val="18"/>
                <w:szCs w:val="18"/>
              </w:rPr>
              <w:t>锡：</w:t>
            </w:r>
            <w:r w:rsidR="00CF36E8" w:rsidRPr="00CF36E8">
              <w:rPr>
                <w:rFonts w:ascii="宋体" w:hAnsi="宋体" w:cs="宋体" w:hint="eastAsia"/>
                <w:sz w:val="18"/>
                <w:szCs w:val="18"/>
              </w:rPr>
              <w:t xml:space="preserve">净出口预计增加 国内交投氛围转淡 </w:t>
            </w:r>
            <w:proofErr w:type="gramStart"/>
            <w:r w:rsidR="00CF36E8" w:rsidRPr="00CF36E8">
              <w:rPr>
                <w:rFonts w:ascii="宋体" w:hAnsi="宋体" w:cs="宋体" w:hint="eastAsia"/>
                <w:sz w:val="18"/>
                <w:szCs w:val="18"/>
              </w:rPr>
              <w:t>沪锡冲高</w:t>
            </w:r>
            <w:proofErr w:type="gramEnd"/>
            <w:r w:rsidR="00CF36E8" w:rsidRPr="00CF36E8">
              <w:rPr>
                <w:rFonts w:ascii="宋体" w:hAnsi="宋体" w:cs="宋体" w:hint="eastAsia"/>
                <w:sz w:val="18"/>
                <w:szCs w:val="18"/>
              </w:rPr>
              <w:t>回落</w:t>
            </w:r>
          </w:p>
          <w:p w:rsidR="00CF36E8" w:rsidRPr="00CF36E8" w:rsidRDefault="00CF36E8" w:rsidP="00CF36E8">
            <w:pPr>
              <w:rPr>
                <w:rFonts w:ascii="宋体" w:hAnsi="宋体" w:cs="宋体" w:hint="eastAsia"/>
                <w:sz w:val="18"/>
                <w:szCs w:val="18"/>
              </w:rPr>
            </w:pPr>
            <w:r w:rsidRPr="00CF36E8">
              <w:rPr>
                <w:rFonts w:ascii="宋体" w:hAnsi="宋体" w:cs="宋体" w:hint="eastAsia"/>
                <w:sz w:val="18"/>
                <w:szCs w:val="18"/>
              </w:rPr>
              <w:t>一方面，上游非洲锡矿表示过去</w:t>
            </w:r>
            <w:proofErr w:type="gramStart"/>
            <w:r w:rsidRPr="00CF36E8">
              <w:rPr>
                <w:rFonts w:ascii="宋体" w:hAnsi="宋体" w:cs="宋体" w:hint="eastAsia"/>
                <w:sz w:val="18"/>
                <w:szCs w:val="18"/>
              </w:rPr>
              <w:t>一</w:t>
            </w:r>
            <w:proofErr w:type="gramEnd"/>
            <w:r w:rsidRPr="00CF36E8">
              <w:rPr>
                <w:rFonts w:ascii="宋体" w:hAnsi="宋体" w:cs="宋体" w:hint="eastAsia"/>
                <w:sz w:val="18"/>
                <w:szCs w:val="18"/>
              </w:rPr>
              <w:t>年产量超预期、康尼什金属公司将重新开发南克罗夫蒂锡矿出现进展将使得未来供应紧张形势有所缓解，另一方面，当前下游的需求仍显乏力，供需</w:t>
            </w:r>
            <w:proofErr w:type="gramStart"/>
            <w:r w:rsidRPr="00CF36E8">
              <w:rPr>
                <w:rFonts w:ascii="宋体" w:hAnsi="宋体" w:cs="宋体" w:hint="eastAsia"/>
                <w:sz w:val="18"/>
                <w:szCs w:val="18"/>
              </w:rPr>
              <w:t>两淡将</w:t>
            </w:r>
            <w:proofErr w:type="gramEnd"/>
            <w:r w:rsidRPr="00CF36E8">
              <w:rPr>
                <w:rFonts w:ascii="宋体" w:hAnsi="宋体" w:cs="宋体" w:hint="eastAsia"/>
                <w:sz w:val="18"/>
                <w:szCs w:val="18"/>
              </w:rPr>
              <w:t>使使锡价承压。</w:t>
            </w:r>
          </w:p>
          <w:p w:rsidR="00CF36E8" w:rsidRDefault="00CF36E8" w:rsidP="00CF36E8">
            <w:pPr>
              <w:rPr>
                <w:rFonts w:ascii="宋体" w:hAnsi="宋体" w:cs="宋体"/>
                <w:sz w:val="18"/>
                <w:szCs w:val="18"/>
              </w:rPr>
            </w:pPr>
            <w:r w:rsidRPr="00CF36E8">
              <w:rPr>
                <w:rFonts w:ascii="宋体" w:hAnsi="宋体" w:cs="宋体" w:hint="eastAsia"/>
                <w:sz w:val="18"/>
                <w:szCs w:val="18"/>
              </w:rPr>
              <w:t>关注锡矿</w:t>
            </w:r>
            <w:proofErr w:type="gramStart"/>
            <w:r w:rsidRPr="00CF36E8">
              <w:rPr>
                <w:rFonts w:ascii="宋体" w:hAnsi="宋体" w:cs="宋体" w:hint="eastAsia"/>
                <w:sz w:val="18"/>
                <w:szCs w:val="18"/>
              </w:rPr>
              <w:t>与精锡的</w:t>
            </w:r>
            <w:proofErr w:type="gramEnd"/>
            <w:r w:rsidRPr="00CF36E8">
              <w:rPr>
                <w:rFonts w:ascii="宋体" w:hAnsi="宋体" w:cs="宋体" w:hint="eastAsia"/>
                <w:sz w:val="18"/>
                <w:szCs w:val="18"/>
              </w:rPr>
              <w:t>供应减少与下游需求相对稳定的矛盾、去库速度、</w:t>
            </w:r>
            <w:proofErr w:type="gramStart"/>
            <w:r w:rsidRPr="00CF36E8">
              <w:rPr>
                <w:rFonts w:ascii="宋体" w:hAnsi="宋体" w:cs="宋体" w:hint="eastAsia"/>
                <w:sz w:val="18"/>
                <w:szCs w:val="18"/>
              </w:rPr>
              <w:t>云锡新</w:t>
            </w:r>
            <w:proofErr w:type="gramEnd"/>
            <w:r w:rsidRPr="00CF36E8">
              <w:rPr>
                <w:rFonts w:ascii="宋体" w:hAnsi="宋体" w:cs="宋体" w:hint="eastAsia"/>
                <w:sz w:val="18"/>
                <w:szCs w:val="18"/>
              </w:rPr>
              <w:t>生产线的投产进度</w:t>
            </w:r>
          </w:p>
          <w:p w:rsidR="00CF36E8" w:rsidRPr="00CF36E8" w:rsidRDefault="00200790" w:rsidP="00CF36E8">
            <w:pPr>
              <w:rPr>
                <w:rFonts w:ascii="宋体" w:hAnsi="宋体" w:cs="宋体" w:hint="eastAsia"/>
                <w:sz w:val="18"/>
                <w:szCs w:val="18"/>
              </w:rPr>
            </w:pPr>
            <w:r w:rsidRPr="00200790">
              <w:rPr>
                <w:rFonts w:ascii="宋体" w:hAnsi="宋体" w:cs="宋体" w:hint="eastAsia"/>
                <w:b/>
                <w:sz w:val="18"/>
                <w:szCs w:val="18"/>
              </w:rPr>
              <w:t>镍：</w:t>
            </w:r>
            <w:r w:rsidR="00CF36E8" w:rsidRPr="00CF36E8">
              <w:rPr>
                <w:rFonts w:ascii="宋体" w:hAnsi="宋体" w:cs="宋体" w:hint="eastAsia"/>
                <w:sz w:val="18"/>
                <w:szCs w:val="18"/>
              </w:rPr>
              <w:t xml:space="preserve">淡水河谷加拿大镍厂停运 市场畏高情绪显现  </w:t>
            </w:r>
            <w:proofErr w:type="gramStart"/>
            <w:r w:rsidR="00CF36E8" w:rsidRPr="00CF36E8">
              <w:rPr>
                <w:rFonts w:ascii="宋体" w:hAnsi="宋体" w:cs="宋体" w:hint="eastAsia"/>
                <w:sz w:val="18"/>
                <w:szCs w:val="18"/>
              </w:rPr>
              <w:t>沪镍冲高</w:t>
            </w:r>
            <w:proofErr w:type="gramEnd"/>
            <w:r w:rsidR="00CF36E8" w:rsidRPr="00CF36E8">
              <w:rPr>
                <w:rFonts w:ascii="宋体" w:hAnsi="宋体" w:cs="宋体" w:hint="eastAsia"/>
                <w:sz w:val="18"/>
                <w:szCs w:val="18"/>
              </w:rPr>
              <w:t>回落</w:t>
            </w:r>
          </w:p>
          <w:p w:rsidR="00CF36E8" w:rsidRPr="00CF36E8" w:rsidRDefault="00CF36E8" w:rsidP="00CF36E8">
            <w:pPr>
              <w:rPr>
                <w:rFonts w:ascii="宋体" w:hAnsi="宋体" w:cs="宋体" w:hint="eastAsia"/>
                <w:sz w:val="18"/>
                <w:szCs w:val="18"/>
              </w:rPr>
            </w:pPr>
            <w:r w:rsidRPr="00CF36E8">
              <w:rPr>
                <w:rFonts w:ascii="宋体" w:hAnsi="宋体" w:cs="宋体" w:hint="eastAsia"/>
                <w:sz w:val="18"/>
                <w:szCs w:val="18"/>
              </w:rPr>
              <w:t>一方面，镍生铁</w:t>
            </w:r>
            <w:proofErr w:type="gramStart"/>
            <w:r w:rsidRPr="00CF36E8">
              <w:rPr>
                <w:rFonts w:ascii="宋体" w:hAnsi="宋体" w:cs="宋体" w:hint="eastAsia"/>
                <w:sz w:val="18"/>
                <w:szCs w:val="18"/>
              </w:rPr>
              <w:t>对纯镍的</w:t>
            </w:r>
            <w:proofErr w:type="gramEnd"/>
            <w:r w:rsidRPr="00CF36E8">
              <w:rPr>
                <w:rFonts w:ascii="宋体" w:hAnsi="宋体" w:cs="宋体" w:hint="eastAsia"/>
                <w:sz w:val="18"/>
                <w:szCs w:val="18"/>
              </w:rPr>
              <w:t>替代逐渐达到顶峰，拖累镍价的最大因素</w:t>
            </w:r>
            <w:proofErr w:type="gramStart"/>
            <w:r w:rsidRPr="00CF36E8">
              <w:rPr>
                <w:rFonts w:ascii="宋体" w:hAnsi="宋体" w:cs="宋体" w:hint="eastAsia"/>
                <w:sz w:val="18"/>
                <w:szCs w:val="18"/>
              </w:rPr>
              <w:t>之一已</w:t>
            </w:r>
            <w:proofErr w:type="gramEnd"/>
            <w:r w:rsidRPr="00CF36E8">
              <w:rPr>
                <w:rFonts w:ascii="宋体" w:hAnsi="宋体" w:cs="宋体" w:hint="eastAsia"/>
                <w:sz w:val="18"/>
                <w:szCs w:val="18"/>
              </w:rPr>
              <w:t>逐渐成为过去；另一方面，不锈钢在原生</w:t>
            </w:r>
            <w:proofErr w:type="gramStart"/>
            <w:r w:rsidRPr="00CF36E8">
              <w:rPr>
                <w:rFonts w:ascii="宋体" w:hAnsi="宋体" w:cs="宋体" w:hint="eastAsia"/>
                <w:sz w:val="18"/>
                <w:szCs w:val="18"/>
              </w:rPr>
              <w:t>镍消费</w:t>
            </w:r>
            <w:proofErr w:type="gramEnd"/>
            <w:r w:rsidRPr="00CF36E8">
              <w:rPr>
                <w:rFonts w:ascii="宋体" w:hAnsi="宋体" w:cs="宋体" w:hint="eastAsia"/>
                <w:sz w:val="18"/>
                <w:szCs w:val="18"/>
              </w:rPr>
              <w:t>中仍占据较多比例，对平衡表整体影响大；而新能源发展方兴未艾，关注新能源行业消费增速与硫酸</w:t>
            </w:r>
            <w:proofErr w:type="gramStart"/>
            <w:r w:rsidRPr="00CF36E8">
              <w:rPr>
                <w:rFonts w:ascii="宋体" w:hAnsi="宋体" w:cs="宋体" w:hint="eastAsia"/>
                <w:sz w:val="18"/>
                <w:szCs w:val="18"/>
              </w:rPr>
              <w:t>镍供应</w:t>
            </w:r>
            <w:proofErr w:type="gramEnd"/>
            <w:r w:rsidRPr="00CF36E8">
              <w:rPr>
                <w:rFonts w:ascii="宋体" w:hAnsi="宋体" w:cs="宋体" w:hint="eastAsia"/>
                <w:sz w:val="18"/>
                <w:szCs w:val="18"/>
              </w:rPr>
              <w:t>增速。</w:t>
            </w:r>
          </w:p>
          <w:p w:rsidR="00D70C06" w:rsidRPr="004351C7" w:rsidRDefault="00CF36E8" w:rsidP="00CF36E8">
            <w:pPr>
              <w:rPr>
                <w:rFonts w:ascii="宋体" w:hAnsi="宋体" w:cs="宋体"/>
                <w:sz w:val="18"/>
                <w:szCs w:val="18"/>
              </w:rPr>
            </w:pPr>
            <w:r w:rsidRPr="00CF36E8">
              <w:rPr>
                <w:rFonts w:ascii="宋体" w:hAnsi="宋体" w:cs="宋体" w:hint="eastAsia"/>
                <w:sz w:val="18"/>
                <w:szCs w:val="18"/>
              </w:rPr>
              <w:t>关注菲律宾雨季即将结束后的供应情况、印尼镍生铁的供应增长前景、不锈钢与新能源汽车电池正极材料需求。</w:t>
            </w:r>
          </w:p>
        </w:tc>
      </w:tr>
      <w:tr w:rsidR="00CF6558">
        <w:trPr>
          <w:trHeight w:val="146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铝</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79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锌</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81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铅</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短线与中线空单谨慎持有</w:t>
            </w:r>
          </w:p>
        </w:tc>
        <w:tc>
          <w:tcPr>
            <w:tcW w:w="7380" w:type="dxa"/>
            <w:vMerge/>
          </w:tcPr>
          <w:p w:rsidR="00CF6558" w:rsidRDefault="00CF6558">
            <w:pPr>
              <w:rPr>
                <w:rFonts w:ascii="宋体" w:hAnsi="宋体" w:cs="宋体"/>
                <w:sz w:val="18"/>
                <w:szCs w:val="18"/>
              </w:rPr>
            </w:pPr>
          </w:p>
        </w:tc>
      </w:tr>
      <w:tr w:rsidR="00CF6558">
        <w:trPr>
          <w:trHeight w:val="1593"/>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锡</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镍</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617"/>
          <w:jc w:val="center"/>
        </w:trPr>
        <w:tc>
          <w:tcPr>
            <w:tcW w:w="630" w:type="dxa"/>
            <w:vMerge w:val="restart"/>
          </w:tcPr>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农</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品</w:t>
            </w:r>
          </w:p>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w:t>
            </w:r>
            <w:proofErr w:type="gramStart"/>
            <w:r>
              <w:rPr>
                <w:rFonts w:ascii="宋体" w:hAnsi="宋体" w:hint="eastAsia"/>
                <w:szCs w:val="21"/>
              </w:rPr>
              <w:t>粕</w:t>
            </w:r>
            <w:proofErr w:type="gramEnd"/>
          </w:p>
        </w:tc>
        <w:tc>
          <w:tcPr>
            <w:tcW w:w="1123" w:type="dxa"/>
            <w:vAlign w:val="center"/>
          </w:tcPr>
          <w:p w:rsidR="00CF6558" w:rsidRDefault="00653621">
            <w:pPr>
              <w:jc w:val="center"/>
              <w:rPr>
                <w:rFonts w:ascii="宋体" w:hAnsi="宋体"/>
                <w:szCs w:val="21"/>
              </w:rPr>
            </w:pPr>
            <w:r>
              <w:rPr>
                <w:rFonts w:hint="eastAsia"/>
              </w:rPr>
              <w:t>震荡</w:t>
            </w:r>
          </w:p>
        </w:tc>
        <w:tc>
          <w:tcPr>
            <w:tcW w:w="7380" w:type="dxa"/>
            <w:vMerge w:val="restart"/>
          </w:tcPr>
          <w:p w:rsidR="00D70C06" w:rsidRPr="00D70C06" w:rsidRDefault="00BA03B4" w:rsidP="00BA03B4">
            <w:pPr>
              <w:widowControl/>
              <w:jc w:val="left"/>
              <w:rPr>
                <w:rFonts w:ascii="宋体" w:hAnsi="宋体" w:cs="宋体"/>
                <w:bCs/>
                <w:kern w:val="0"/>
                <w:sz w:val="18"/>
                <w:szCs w:val="18"/>
              </w:rPr>
            </w:pPr>
            <w:proofErr w:type="gramStart"/>
            <w:r w:rsidRPr="00BA03B4">
              <w:rPr>
                <w:rFonts w:ascii="宋体" w:hAnsi="宋体" w:cs="宋体"/>
                <w:b/>
                <w:sz w:val="18"/>
                <w:szCs w:val="18"/>
              </w:rPr>
              <w:t>粕</w:t>
            </w:r>
            <w:proofErr w:type="gramEnd"/>
            <w:r w:rsidRPr="00BA03B4">
              <w:rPr>
                <w:rFonts w:ascii="宋体" w:hAnsi="宋体" w:cs="宋体"/>
                <w:b/>
                <w:sz w:val="18"/>
                <w:szCs w:val="18"/>
              </w:rPr>
              <w:t>：</w:t>
            </w:r>
            <w:proofErr w:type="gramStart"/>
            <w:r w:rsidRPr="00BA03B4">
              <w:rPr>
                <w:rFonts w:ascii="宋体" w:hAnsi="宋体" w:cs="宋体"/>
                <w:sz w:val="18"/>
                <w:szCs w:val="18"/>
              </w:rPr>
              <w:t>美豆的</w:t>
            </w:r>
            <w:proofErr w:type="gramEnd"/>
            <w:r w:rsidRPr="00BA03B4">
              <w:rPr>
                <w:rFonts w:ascii="宋体" w:hAnsi="宋体" w:cs="宋体"/>
                <w:sz w:val="18"/>
                <w:szCs w:val="18"/>
              </w:rPr>
              <w:t>播种和出苗情况好于往年，但全球</w:t>
            </w:r>
            <w:proofErr w:type="gramStart"/>
            <w:r w:rsidRPr="00BA03B4">
              <w:rPr>
                <w:rFonts w:ascii="宋体" w:hAnsi="宋体" w:cs="宋体"/>
                <w:sz w:val="18"/>
                <w:szCs w:val="18"/>
              </w:rPr>
              <w:t>及美豆库存</w:t>
            </w:r>
            <w:proofErr w:type="gramEnd"/>
            <w:r w:rsidRPr="00BA03B4">
              <w:rPr>
                <w:rFonts w:ascii="宋体" w:hAnsi="宋体" w:cs="宋体"/>
                <w:sz w:val="18"/>
                <w:szCs w:val="18"/>
              </w:rPr>
              <w:t>偏紧，天气对</w:t>
            </w:r>
            <w:proofErr w:type="gramStart"/>
            <w:r w:rsidRPr="00BA03B4">
              <w:rPr>
                <w:rFonts w:ascii="宋体" w:hAnsi="宋体" w:cs="宋体"/>
                <w:sz w:val="18"/>
                <w:szCs w:val="18"/>
              </w:rPr>
              <w:t>美豆价格</w:t>
            </w:r>
            <w:proofErr w:type="gramEnd"/>
            <w:r w:rsidRPr="00BA03B4">
              <w:rPr>
                <w:rFonts w:ascii="宋体" w:hAnsi="宋体" w:cs="宋体"/>
                <w:sz w:val="18"/>
                <w:szCs w:val="18"/>
              </w:rPr>
              <w:t>的涨跌较为敏感。巴西大豆出口处于高峰期。国内大豆进口成本高企，到港大豆陆续增加，压榨利润有所修复，油厂开机率逐渐提高，蛋鸡存栏处于缓增状态，水产养殖需求旺季，豆</w:t>
            </w:r>
            <w:proofErr w:type="gramStart"/>
            <w:r w:rsidRPr="00BA03B4">
              <w:rPr>
                <w:rFonts w:ascii="宋体" w:hAnsi="宋体" w:cs="宋体"/>
                <w:sz w:val="18"/>
                <w:szCs w:val="18"/>
              </w:rPr>
              <w:t>粕</w:t>
            </w:r>
            <w:proofErr w:type="gramEnd"/>
            <w:r w:rsidRPr="00BA03B4">
              <w:rPr>
                <w:rFonts w:ascii="宋体" w:hAnsi="宋体" w:cs="宋体"/>
                <w:sz w:val="18"/>
                <w:szCs w:val="18"/>
              </w:rPr>
              <w:t>需求有望增加，只是生猪养殖恢复缓慢，用其他蛋白替代豆</w:t>
            </w:r>
            <w:proofErr w:type="gramStart"/>
            <w:r w:rsidRPr="00BA03B4">
              <w:rPr>
                <w:rFonts w:ascii="宋体" w:hAnsi="宋体" w:cs="宋体"/>
                <w:sz w:val="18"/>
                <w:szCs w:val="18"/>
              </w:rPr>
              <w:t>粕</w:t>
            </w:r>
            <w:proofErr w:type="gramEnd"/>
            <w:r w:rsidRPr="00BA03B4">
              <w:rPr>
                <w:rFonts w:ascii="宋体" w:hAnsi="宋体" w:cs="宋体"/>
                <w:sz w:val="18"/>
                <w:szCs w:val="18"/>
              </w:rPr>
              <w:t>的技术推广或使得豆</w:t>
            </w:r>
            <w:proofErr w:type="gramStart"/>
            <w:r w:rsidRPr="00BA03B4">
              <w:rPr>
                <w:rFonts w:ascii="宋体" w:hAnsi="宋体" w:cs="宋体"/>
                <w:sz w:val="18"/>
                <w:szCs w:val="18"/>
              </w:rPr>
              <w:t>粕</w:t>
            </w:r>
            <w:proofErr w:type="gramEnd"/>
            <w:r w:rsidRPr="00BA03B4">
              <w:rPr>
                <w:rFonts w:ascii="宋体" w:hAnsi="宋体" w:cs="宋体"/>
                <w:sz w:val="18"/>
                <w:szCs w:val="18"/>
              </w:rPr>
              <w:t>需求降低，对豆</w:t>
            </w:r>
            <w:proofErr w:type="gramStart"/>
            <w:r w:rsidRPr="00BA03B4">
              <w:rPr>
                <w:rFonts w:ascii="宋体" w:hAnsi="宋体" w:cs="宋体"/>
                <w:sz w:val="18"/>
                <w:szCs w:val="18"/>
              </w:rPr>
              <w:t>粕</w:t>
            </w:r>
            <w:proofErr w:type="gramEnd"/>
            <w:r w:rsidRPr="00BA03B4">
              <w:rPr>
                <w:rFonts w:ascii="宋体" w:hAnsi="宋体" w:cs="宋体"/>
                <w:sz w:val="18"/>
                <w:szCs w:val="18"/>
              </w:rPr>
              <w:t>需求形成不利影响，预计豆</w:t>
            </w:r>
            <w:proofErr w:type="gramStart"/>
            <w:r w:rsidRPr="00BA03B4">
              <w:rPr>
                <w:rFonts w:ascii="宋体" w:hAnsi="宋体" w:cs="宋体"/>
                <w:sz w:val="18"/>
                <w:szCs w:val="18"/>
              </w:rPr>
              <w:t>粕</w:t>
            </w:r>
            <w:proofErr w:type="gramEnd"/>
            <w:r w:rsidRPr="00BA03B4">
              <w:rPr>
                <w:rFonts w:ascii="宋体" w:hAnsi="宋体" w:cs="宋体"/>
                <w:sz w:val="18"/>
                <w:szCs w:val="18"/>
              </w:rPr>
              <w:t>宽幅震荡。不过要注意大豆到港进度，豆</w:t>
            </w:r>
            <w:proofErr w:type="gramStart"/>
            <w:r w:rsidRPr="00BA03B4">
              <w:rPr>
                <w:rFonts w:ascii="宋体" w:hAnsi="宋体" w:cs="宋体"/>
                <w:sz w:val="18"/>
                <w:szCs w:val="18"/>
              </w:rPr>
              <w:t>粕</w:t>
            </w:r>
            <w:proofErr w:type="gramEnd"/>
            <w:r w:rsidRPr="00BA03B4">
              <w:rPr>
                <w:rFonts w:ascii="宋体" w:hAnsi="宋体" w:cs="宋体"/>
                <w:sz w:val="18"/>
                <w:szCs w:val="18"/>
              </w:rPr>
              <w:t>需求</w:t>
            </w:r>
            <w:proofErr w:type="gramStart"/>
            <w:r w:rsidRPr="00BA03B4">
              <w:rPr>
                <w:rFonts w:ascii="宋体" w:hAnsi="宋体" w:cs="宋体"/>
                <w:sz w:val="18"/>
                <w:szCs w:val="18"/>
              </w:rPr>
              <w:t>以及美豆生长期</w:t>
            </w:r>
            <w:proofErr w:type="gramEnd"/>
            <w:r w:rsidRPr="00BA03B4">
              <w:rPr>
                <w:rFonts w:ascii="宋体" w:hAnsi="宋体" w:cs="宋体"/>
                <w:sz w:val="18"/>
                <w:szCs w:val="18"/>
              </w:rPr>
              <w:t>天气等风险因素。</w:t>
            </w:r>
            <w:r w:rsidRPr="00BA03B4">
              <w:rPr>
                <w:rFonts w:ascii="宋体" w:hAnsi="宋体" w:cs="宋体"/>
                <w:sz w:val="18"/>
                <w:szCs w:val="18"/>
              </w:rPr>
              <w:br/>
            </w:r>
            <w:r w:rsidRPr="00BA03B4">
              <w:rPr>
                <w:rFonts w:ascii="宋体" w:hAnsi="宋体" w:cs="宋体"/>
                <w:b/>
                <w:sz w:val="18"/>
                <w:szCs w:val="18"/>
              </w:rPr>
              <w:t>油脂：</w:t>
            </w:r>
            <w:r w:rsidRPr="00BA03B4">
              <w:rPr>
                <w:rFonts w:ascii="宋体" w:hAnsi="宋体" w:cs="宋体"/>
                <w:sz w:val="18"/>
                <w:szCs w:val="18"/>
              </w:rPr>
              <w:t>马棕油进入季节性增产季，但疫情继续影响种植园劳工从而影响产量，</w:t>
            </w:r>
            <w:proofErr w:type="gramStart"/>
            <w:r w:rsidRPr="00BA03B4">
              <w:rPr>
                <w:rFonts w:ascii="宋体" w:hAnsi="宋体" w:cs="宋体"/>
                <w:sz w:val="18"/>
                <w:szCs w:val="18"/>
              </w:rPr>
              <w:t>令供应</w:t>
            </w:r>
            <w:proofErr w:type="gramEnd"/>
            <w:r w:rsidRPr="00BA03B4">
              <w:rPr>
                <w:rFonts w:ascii="宋体" w:hAnsi="宋体" w:cs="宋体"/>
                <w:sz w:val="18"/>
                <w:szCs w:val="18"/>
              </w:rPr>
              <w:t>预期偏紧，马</w:t>
            </w:r>
            <w:proofErr w:type="gramStart"/>
            <w:r w:rsidRPr="00BA03B4">
              <w:rPr>
                <w:rFonts w:ascii="宋体" w:hAnsi="宋体" w:cs="宋体"/>
                <w:sz w:val="18"/>
                <w:szCs w:val="18"/>
              </w:rPr>
              <w:t>棕出口</w:t>
            </w:r>
            <w:proofErr w:type="gramEnd"/>
            <w:r w:rsidRPr="00BA03B4">
              <w:rPr>
                <w:rFonts w:ascii="宋体" w:hAnsi="宋体" w:cs="宋体"/>
                <w:sz w:val="18"/>
                <w:szCs w:val="18"/>
              </w:rPr>
              <w:t>保持强劲态势，库存仍旧偏低，印度疫情可能一定程度影响市场需求预期。国内进口大豆成本增加，压榨利润有所修复，油厂的开机率逐渐提高，油脂供应增加，不过国内豆油棕榈油</w:t>
            </w:r>
            <w:proofErr w:type="gramStart"/>
            <w:r w:rsidRPr="00BA03B4">
              <w:rPr>
                <w:rFonts w:ascii="宋体" w:hAnsi="宋体" w:cs="宋体"/>
                <w:sz w:val="18"/>
                <w:szCs w:val="18"/>
              </w:rPr>
              <w:t>累库需要</w:t>
            </w:r>
            <w:proofErr w:type="gramEnd"/>
            <w:r w:rsidRPr="00BA03B4">
              <w:rPr>
                <w:rFonts w:ascii="宋体" w:hAnsi="宋体" w:cs="宋体"/>
                <w:sz w:val="18"/>
                <w:szCs w:val="18"/>
              </w:rPr>
              <w:t>时间，油脂或震荡，</w:t>
            </w:r>
            <w:proofErr w:type="gramStart"/>
            <w:r w:rsidRPr="00BA03B4">
              <w:rPr>
                <w:rFonts w:ascii="宋体" w:hAnsi="宋体" w:cs="宋体"/>
                <w:sz w:val="18"/>
                <w:szCs w:val="18"/>
              </w:rPr>
              <w:t>关注美豆产区</w:t>
            </w:r>
            <w:proofErr w:type="gramEnd"/>
            <w:r w:rsidRPr="00BA03B4">
              <w:rPr>
                <w:rFonts w:ascii="宋体" w:hAnsi="宋体" w:cs="宋体"/>
                <w:sz w:val="18"/>
                <w:szCs w:val="18"/>
              </w:rPr>
              <w:t>天气及东南亚棕榈油产销等不确定性风险因素。</w:t>
            </w:r>
          </w:p>
        </w:tc>
      </w:tr>
      <w:tr w:rsidR="00CF6558">
        <w:trPr>
          <w:trHeight w:val="456"/>
          <w:jc w:val="center"/>
        </w:trPr>
        <w:tc>
          <w:tcPr>
            <w:tcW w:w="630" w:type="dxa"/>
            <w:vMerge/>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w:t>
            </w:r>
            <w:proofErr w:type="gramStart"/>
            <w:r>
              <w:rPr>
                <w:rFonts w:ascii="宋体" w:hAnsi="宋体" w:hint="eastAsia"/>
                <w:szCs w:val="21"/>
              </w:rPr>
              <w:t>粕</w:t>
            </w:r>
            <w:proofErr w:type="gramEnd"/>
          </w:p>
        </w:tc>
        <w:tc>
          <w:tcPr>
            <w:tcW w:w="1123" w:type="dxa"/>
            <w:vAlign w:val="center"/>
          </w:tcPr>
          <w:p w:rsidR="00CF6558" w:rsidRDefault="00653621">
            <w:pPr>
              <w:jc w:val="center"/>
              <w:rPr>
                <w:rFonts w:ascii="宋体" w:hAnsi="宋体"/>
                <w:color w:val="000000"/>
                <w:szCs w:val="21"/>
              </w:rPr>
            </w:pPr>
            <w:r>
              <w:rPr>
                <w:rFonts w:hint="eastAsia"/>
              </w:rPr>
              <w:t>震荡</w:t>
            </w:r>
          </w:p>
        </w:tc>
        <w:tc>
          <w:tcPr>
            <w:tcW w:w="7380" w:type="dxa"/>
            <w:vMerge/>
          </w:tcPr>
          <w:p w:rsidR="00CF6558" w:rsidRDefault="00CF6558">
            <w:pPr>
              <w:widowControl/>
              <w:wordWrap w:val="0"/>
              <w:snapToGrid w:val="0"/>
              <w:jc w:val="left"/>
              <w:rPr>
                <w:rFonts w:ascii="宋体" w:hAnsi="宋体" w:cs="宋体"/>
                <w:kern w:val="0"/>
                <w:sz w:val="18"/>
                <w:szCs w:val="18"/>
              </w:rPr>
            </w:pPr>
          </w:p>
        </w:tc>
      </w:tr>
      <w:tr w:rsidR="00CF6558" w:rsidTr="00B40DFB">
        <w:trPr>
          <w:trHeight w:val="38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w:t>
            </w:r>
            <w:proofErr w:type="gramStart"/>
            <w:r>
              <w:t>一</w:t>
            </w:r>
            <w:proofErr w:type="gramEnd"/>
          </w:p>
        </w:tc>
        <w:tc>
          <w:tcPr>
            <w:tcW w:w="1123" w:type="dxa"/>
            <w:vAlign w:val="center"/>
          </w:tcPr>
          <w:p w:rsidR="00CF6558" w:rsidRDefault="00653621" w:rsidP="004F1A85">
            <w:pPr>
              <w:jc w:val="center"/>
              <w:rPr>
                <w:rFonts w:ascii="宋体" w:hAnsi="宋体"/>
                <w:color w:val="000000"/>
                <w:szCs w:val="21"/>
              </w:rPr>
            </w:pPr>
            <w:r>
              <w:t>震荡</w:t>
            </w:r>
          </w:p>
        </w:tc>
        <w:tc>
          <w:tcPr>
            <w:tcW w:w="7380" w:type="dxa"/>
            <w:vMerge/>
          </w:tcPr>
          <w:p w:rsidR="00CF6558" w:rsidRDefault="00CF6558">
            <w:pPr>
              <w:rPr>
                <w:rFonts w:ascii="宋体" w:hAnsi="宋体" w:cs="宋体"/>
                <w:kern w:val="0"/>
                <w:sz w:val="18"/>
                <w:szCs w:val="18"/>
              </w:rPr>
            </w:pPr>
          </w:p>
        </w:tc>
      </w:tr>
      <w:tr w:rsidR="00CF6558" w:rsidTr="00B40DFB">
        <w:trPr>
          <w:trHeight w:val="39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proofErr w:type="gramStart"/>
            <w:r>
              <w:t>豆二</w:t>
            </w:r>
            <w:proofErr w:type="gramEnd"/>
          </w:p>
        </w:tc>
        <w:tc>
          <w:tcPr>
            <w:tcW w:w="1123" w:type="dxa"/>
            <w:vAlign w:val="center"/>
          </w:tcPr>
          <w:p w:rsidR="00CF6558" w:rsidRDefault="00653621">
            <w:pPr>
              <w:jc w:val="center"/>
              <w:rPr>
                <w:rFonts w:ascii="宋体" w:hAnsi="宋体"/>
                <w:color w:val="000000"/>
                <w:szCs w:val="21"/>
              </w:rPr>
            </w:pPr>
            <w:r>
              <w:rPr>
                <w:rFonts w:hint="eastAsia"/>
              </w:rPr>
              <w:t>震荡</w:t>
            </w:r>
          </w:p>
        </w:tc>
        <w:tc>
          <w:tcPr>
            <w:tcW w:w="7380" w:type="dxa"/>
            <w:vMerge/>
          </w:tcPr>
          <w:p w:rsidR="00CF6558" w:rsidRDefault="00CF6558">
            <w:pPr>
              <w:widowControl/>
              <w:rPr>
                <w:rFonts w:ascii="宋体" w:hAnsi="宋体" w:cs="宋体"/>
                <w:kern w:val="0"/>
                <w:sz w:val="18"/>
                <w:szCs w:val="18"/>
              </w:rPr>
            </w:pPr>
          </w:p>
        </w:tc>
      </w:tr>
      <w:tr w:rsidR="00CF6558" w:rsidTr="00B40DFB">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豆油</w:t>
            </w:r>
          </w:p>
        </w:tc>
        <w:tc>
          <w:tcPr>
            <w:tcW w:w="1123" w:type="dxa"/>
            <w:vAlign w:val="center"/>
          </w:tcPr>
          <w:p w:rsidR="00CF6558" w:rsidRDefault="00653621" w:rsidP="004F1A85">
            <w:pPr>
              <w:jc w:val="center"/>
              <w:rPr>
                <w:rFonts w:ascii="宋体" w:hAnsi="宋体"/>
                <w:color w:val="000000"/>
                <w:szCs w:val="21"/>
              </w:rPr>
            </w:pPr>
            <w:r>
              <w:rPr>
                <w:rFonts w:ascii="宋体" w:hAnsi="宋体" w:hint="eastAsia"/>
                <w:color w:val="000000"/>
                <w:szCs w:val="21"/>
              </w:rPr>
              <w:t>震荡</w:t>
            </w:r>
          </w:p>
        </w:tc>
        <w:tc>
          <w:tcPr>
            <w:tcW w:w="7380" w:type="dxa"/>
            <w:vMerge/>
          </w:tcPr>
          <w:p w:rsidR="00CF6558" w:rsidRDefault="00CF6558">
            <w:pPr>
              <w:rPr>
                <w:rFonts w:ascii="宋体" w:hAnsi="宋体" w:cs="宋体"/>
                <w:kern w:val="0"/>
                <w:sz w:val="18"/>
                <w:szCs w:val="18"/>
              </w:rPr>
            </w:pPr>
          </w:p>
        </w:tc>
      </w:tr>
      <w:tr w:rsidR="00CF6558" w:rsidTr="004F1A85">
        <w:trPr>
          <w:trHeight w:val="49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棕榈油</w:t>
            </w:r>
          </w:p>
        </w:tc>
        <w:tc>
          <w:tcPr>
            <w:tcW w:w="1123" w:type="dxa"/>
            <w:vAlign w:val="center"/>
          </w:tcPr>
          <w:p w:rsidR="00CF6558" w:rsidRDefault="00653621" w:rsidP="004F1A85">
            <w:pPr>
              <w:jc w:val="center"/>
              <w:rPr>
                <w:rFonts w:ascii="宋体" w:hAnsi="宋体"/>
                <w:color w:val="000000"/>
                <w:szCs w:val="21"/>
              </w:rPr>
            </w:pPr>
            <w:r>
              <w:rPr>
                <w:rFonts w:ascii="宋体" w:hAnsi="宋体" w:hint="eastAsia"/>
                <w:color w:val="000000"/>
                <w:szCs w:val="21"/>
              </w:rPr>
              <w:t>震荡</w:t>
            </w:r>
          </w:p>
        </w:tc>
        <w:tc>
          <w:tcPr>
            <w:tcW w:w="7380" w:type="dxa"/>
            <w:vMerge/>
          </w:tcPr>
          <w:p w:rsidR="00CF6558" w:rsidRDefault="00CF6558">
            <w:pPr>
              <w:rPr>
                <w:rFonts w:ascii="宋体" w:hAnsi="宋体" w:cs="宋体"/>
                <w:kern w:val="0"/>
                <w:sz w:val="18"/>
                <w:szCs w:val="18"/>
              </w:rPr>
            </w:pPr>
          </w:p>
        </w:tc>
      </w:tr>
      <w:tr w:rsidR="00CF6558">
        <w:trPr>
          <w:trHeight w:val="90"/>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菜油</w:t>
            </w:r>
          </w:p>
        </w:tc>
        <w:tc>
          <w:tcPr>
            <w:tcW w:w="1123" w:type="dxa"/>
            <w:vAlign w:val="center"/>
          </w:tcPr>
          <w:p w:rsidR="00CF6558" w:rsidRDefault="00653621" w:rsidP="004F1A85">
            <w:pPr>
              <w:jc w:val="center"/>
            </w:pPr>
            <w:r>
              <w:rPr>
                <w:rFonts w:ascii="宋体" w:hAnsi="宋体" w:hint="eastAsia"/>
                <w:color w:val="000000"/>
                <w:szCs w:val="21"/>
              </w:rPr>
              <w:t>震荡</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62"/>
          <w:jc w:val="center"/>
        </w:trPr>
        <w:tc>
          <w:tcPr>
            <w:tcW w:w="630" w:type="dxa"/>
            <w:vMerge w:val="restart"/>
            <w:vAlign w:val="center"/>
          </w:tcPr>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lastRenderedPageBreak/>
              <w:t>能源化工品</w:t>
            </w:r>
          </w:p>
        </w:tc>
        <w:tc>
          <w:tcPr>
            <w:tcW w:w="924" w:type="dxa"/>
            <w:vAlign w:val="center"/>
          </w:tcPr>
          <w:p w:rsidR="00CF6558" w:rsidRDefault="00653621">
            <w:pPr>
              <w:jc w:val="center"/>
              <w:rPr>
                <w:rFonts w:ascii="宋体" w:hAnsi="宋体"/>
                <w:szCs w:val="21"/>
              </w:rPr>
            </w:pPr>
            <w:r>
              <w:rPr>
                <w:rFonts w:ascii="宋体" w:hAnsi="宋体" w:hint="eastAsia"/>
                <w:szCs w:val="21"/>
              </w:rPr>
              <w:lastRenderedPageBreak/>
              <w:t>PTA</w:t>
            </w:r>
          </w:p>
        </w:tc>
        <w:tc>
          <w:tcPr>
            <w:tcW w:w="1123" w:type="dxa"/>
            <w:vAlign w:val="center"/>
          </w:tcPr>
          <w:p w:rsidR="00CF6558" w:rsidRPr="00CB380A" w:rsidRDefault="00653621" w:rsidP="00D70C06">
            <w:pPr>
              <w:jc w:val="center"/>
            </w:pPr>
            <w:r>
              <w:t>震荡</w:t>
            </w:r>
          </w:p>
        </w:tc>
        <w:tc>
          <w:tcPr>
            <w:tcW w:w="7380" w:type="dxa"/>
            <w:vMerge w:val="restart"/>
          </w:tcPr>
          <w:p w:rsidR="00ED3265" w:rsidRDefault="002533D7" w:rsidP="00CB380A">
            <w:r w:rsidRPr="00CB380A">
              <w:rPr>
                <w:rFonts w:ascii="宋体" w:hAnsi="宋体" w:cs="宋体" w:hint="eastAsia"/>
                <w:b/>
                <w:bCs/>
                <w:sz w:val="18"/>
                <w:szCs w:val="18"/>
              </w:rPr>
              <w:t>PTA</w:t>
            </w:r>
            <w:r w:rsidRPr="00CB380A">
              <w:rPr>
                <w:rFonts w:ascii="宋体" w:hAnsi="宋体" w:cs="宋体" w:hint="eastAsia"/>
                <w:bCs/>
                <w:sz w:val="18"/>
                <w:szCs w:val="18"/>
              </w:rPr>
              <w:t>：</w:t>
            </w:r>
            <w:r w:rsidR="00ED3265">
              <w:t>油价驱动，炒作</w:t>
            </w:r>
            <w:r w:rsidR="00ED3265">
              <w:t>PTA</w:t>
            </w:r>
            <w:r w:rsidR="00ED3265">
              <w:t>弱预期延后，且装置开工低于</w:t>
            </w:r>
            <w:r w:rsidR="00ED3265">
              <w:t>80%</w:t>
            </w:r>
            <w:r w:rsidR="00ED3265">
              <w:t>，随着加工费突破</w:t>
            </w:r>
            <w:r w:rsidR="00ED3265">
              <w:t>600</w:t>
            </w:r>
            <w:r w:rsidR="00ED3265">
              <w:t>多，</w:t>
            </w:r>
            <w:r w:rsidR="00ED3265">
              <w:t>PTA</w:t>
            </w:r>
            <w:r w:rsidR="00ED3265">
              <w:t>社会库存再度累积，逢高空安全边际逐渐走高，现货成交一般，聚酯工厂产销羸弱。</w:t>
            </w:r>
            <w:r w:rsidR="00ED3265">
              <w:t>PTA</w:t>
            </w:r>
            <w:r w:rsidR="00ED3265">
              <w:t>多套装置重启、负荷缓慢提升中，但整体恢复速度不快。</w:t>
            </w:r>
            <w:r w:rsidR="00ED3265">
              <w:lastRenderedPageBreak/>
              <w:t>随着供应压力上来，需求走弱，基本面驱动中性偏下，成本</w:t>
            </w:r>
            <w:proofErr w:type="gramStart"/>
            <w:r w:rsidR="00ED3265">
              <w:t>驱动走</w:t>
            </w:r>
            <w:proofErr w:type="gramEnd"/>
            <w:r w:rsidR="00ED3265">
              <w:t>弱，适宜逢高空或价差空配。注意节奏，未来</w:t>
            </w:r>
            <w:r w:rsidR="00ED3265">
              <w:t>PTA</w:t>
            </w:r>
            <w:r w:rsidR="00ED3265">
              <w:t>向上</w:t>
            </w:r>
            <w:proofErr w:type="gramStart"/>
            <w:r w:rsidR="00ED3265">
              <w:t>驱动仍</w:t>
            </w:r>
            <w:proofErr w:type="gramEnd"/>
            <w:r w:rsidR="00ED3265">
              <w:t>靠油价。</w:t>
            </w:r>
          </w:p>
          <w:p w:rsidR="00CB380A" w:rsidRPr="00CB380A" w:rsidRDefault="002533D7" w:rsidP="00CB380A">
            <w:pPr>
              <w:rPr>
                <w:rFonts w:ascii="宋体" w:hAnsi="宋体" w:cs="宋体"/>
                <w:bCs/>
                <w:sz w:val="18"/>
                <w:szCs w:val="18"/>
              </w:rPr>
            </w:pPr>
            <w:r w:rsidRPr="00CB380A">
              <w:rPr>
                <w:rFonts w:ascii="宋体" w:hAnsi="宋体" w:cs="宋体" w:hint="eastAsia"/>
                <w:b/>
                <w:bCs/>
                <w:sz w:val="18"/>
                <w:szCs w:val="18"/>
              </w:rPr>
              <w:t>EG</w:t>
            </w:r>
            <w:r w:rsidRPr="00CB380A">
              <w:rPr>
                <w:rFonts w:ascii="宋体" w:hAnsi="宋体" w:cs="宋体" w:hint="eastAsia"/>
                <w:bCs/>
                <w:sz w:val="18"/>
                <w:szCs w:val="18"/>
              </w:rPr>
              <w:t>：</w:t>
            </w:r>
            <w:r w:rsidR="00ED3265">
              <w:t>当前新装置和国外装置恢复预期打得较足，港口仍未</w:t>
            </w:r>
            <w:proofErr w:type="gramStart"/>
            <w:r w:rsidR="00ED3265">
              <w:t>形成累库趋势</w:t>
            </w:r>
            <w:proofErr w:type="gramEnd"/>
            <w:r w:rsidR="00ED3265">
              <w:t>，同时弱预期力量不减，所以形成强底部、上方短。关注供应端变数，当前进口</w:t>
            </w:r>
            <w:proofErr w:type="gramStart"/>
            <w:r w:rsidR="00ED3265">
              <w:t>和煤企增量</w:t>
            </w:r>
            <w:proofErr w:type="gramEnd"/>
            <w:r w:rsidR="00ED3265">
              <w:t>压力不大，</w:t>
            </w:r>
            <w:r w:rsidR="00ED3265">
              <w:t>6</w:t>
            </w:r>
            <w:r w:rsidR="00ED3265">
              <w:t>月进口量预期仍在</w:t>
            </w:r>
            <w:r w:rsidR="00ED3265">
              <w:t>70</w:t>
            </w:r>
            <w:r w:rsidR="00ED3265">
              <w:t>万吨左右。</w:t>
            </w:r>
            <w:proofErr w:type="gramStart"/>
            <w:r w:rsidR="00ED3265">
              <w:t>双碳政策</w:t>
            </w:r>
            <w:proofErr w:type="gramEnd"/>
            <w:r w:rsidR="00ED3265">
              <w:t>对乙二醇的影响主要在</w:t>
            </w:r>
            <w:proofErr w:type="gramStart"/>
            <w:r w:rsidR="00ED3265">
              <w:t>煤企新</w:t>
            </w:r>
            <w:proofErr w:type="gramEnd"/>
            <w:r w:rsidR="00ED3265">
              <w:t>装置供应设限方面，当前已投产的情况来看，没有明显受限。进口量仍不是很多的情况下（国外装置恢复进度仍较慢，预计</w:t>
            </w:r>
            <w:r w:rsidR="00ED3265">
              <w:t>6</w:t>
            </w:r>
            <w:r w:rsidR="00ED3265">
              <w:t>月会很大改善），煤制负荷中性偏低，可继续逢低持有和</w:t>
            </w:r>
            <w:r w:rsidR="00ED3265">
              <w:t>TA</w:t>
            </w:r>
            <w:r w:rsidR="00ED3265">
              <w:t>价差，注意节奏，风险在于油价和煤</w:t>
            </w:r>
            <w:proofErr w:type="gramStart"/>
            <w:r w:rsidR="00ED3265">
              <w:t>企</w:t>
            </w:r>
            <w:proofErr w:type="gramEnd"/>
            <w:r w:rsidR="00ED3265">
              <w:t>。</w:t>
            </w:r>
          </w:p>
          <w:p w:rsidR="00CF36E8" w:rsidRPr="00CF36E8" w:rsidRDefault="00653621" w:rsidP="00CF36E8">
            <w:pPr>
              <w:rPr>
                <w:rFonts w:ascii="宋体" w:hAnsi="宋体" w:cs="宋体" w:hint="eastAsia"/>
                <w:bCs/>
                <w:sz w:val="18"/>
                <w:szCs w:val="18"/>
              </w:rPr>
            </w:pPr>
            <w:r w:rsidRPr="00CB380A">
              <w:rPr>
                <w:rFonts w:ascii="宋体" w:hAnsi="宋体" w:cs="宋体" w:hint="eastAsia"/>
                <w:b/>
                <w:bCs/>
                <w:sz w:val="18"/>
                <w:szCs w:val="18"/>
              </w:rPr>
              <w:t>原油</w:t>
            </w:r>
            <w:r w:rsidRPr="00CB380A">
              <w:rPr>
                <w:rFonts w:ascii="宋体" w:hAnsi="宋体" w:cs="宋体" w:hint="eastAsia"/>
                <w:bCs/>
                <w:sz w:val="18"/>
                <w:szCs w:val="18"/>
              </w:rPr>
              <w:t>：</w:t>
            </w:r>
            <w:r w:rsidR="00CF36E8" w:rsidRPr="00CF36E8">
              <w:rPr>
                <w:rFonts w:ascii="宋体" w:hAnsi="宋体" w:cs="宋体" w:hint="eastAsia"/>
                <w:bCs/>
                <w:sz w:val="18"/>
                <w:szCs w:val="18"/>
              </w:rPr>
              <w:t xml:space="preserve">API库存大降 市场乐观情绪大增 </w:t>
            </w:r>
            <w:proofErr w:type="gramStart"/>
            <w:r w:rsidR="00CF36E8" w:rsidRPr="00CF36E8">
              <w:rPr>
                <w:rFonts w:ascii="宋体" w:hAnsi="宋体" w:cs="宋体" w:hint="eastAsia"/>
                <w:bCs/>
                <w:sz w:val="18"/>
                <w:szCs w:val="18"/>
              </w:rPr>
              <w:t>沪油冲高</w:t>
            </w:r>
            <w:proofErr w:type="gramEnd"/>
            <w:r w:rsidR="00CF36E8" w:rsidRPr="00CF36E8">
              <w:rPr>
                <w:rFonts w:ascii="宋体" w:hAnsi="宋体" w:cs="宋体" w:hint="eastAsia"/>
                <w:bCs/>
                <w:sz w:val="18"/>
                <w:szCs w:val="18"/>
              </w:rPr>
              <w:t>回落</w:t>
            </w:r>
          </w:p>
          <w:p w:rsidR="00CF36E8" w:rsidRPr="00CF36E8" w:rsidRDefault="00CF36E8" w:rsidP="00CF36E8">
            <w:pPr>
              <w:rPr>
                <w:rFonts w:ascii="宋体" w:hAnsi="宋体" w:cs="宋体" w:hint="eastAsia"/>
                <w:bCs/>
                <w:sz w:val="18"/>
                <w:szCs w:val="18"/>
              </w:rPr>
            </w:pPr>
            <w:r w:rsidRPr="00CF36E8">
              <w:rPr>
                <w:rFonts w:ascii="宋体" w:hAnsi="宋体" w:cs="宋体" w:hint="eastAsia"/>
                <w:bCs/>
                <w:sz w:val="18"/>
                <w:szCs w:val="18"/>
              </w:rPr>
              <w:t>目前疫情依然是拖累油价的主要因素，但美国原油库存下降，强化了市场对夏季驾车高峰期之前需求改善的预期，提振了油价，此外，当前油价主要依赖</w:t>
            </w:r>
            <w:proofErr w:type="gramStart"/>
            <w:r w:rsidRPr="00CF36E8">
              <w:rPr>
                <w:rFonts w:ascii="宋体" w:hAnsi="宋体" w:cs="宋体" w:hint="eastAsia"/>
                <w:bCs/>
                <w:sz w:val="18"/>
                <w:szCs w:val="18"/>
              </w:rPr>
              <w:t>于伊核谈判</w:t>
            </w:r>
            <w:proofErr w:type="gramEnd"/>
            <w:r w:rsidRPr="00CF36E8">
              <w:rPr>
                <w:rFonts w:ascii="宋体" w:hAnsi="宋体" w:cs="宋体" w:hint="eastAsia"/>
                <w:bCs/>
                <w:sz w:val="18"/>
                <w:szCs w:val="18"/>
              </w:rPr>
              <w:t>的结果，</w:t>
            </w:r>
            <w:proofErr w:type="gramStart"/>
            <w:r w:rsidRPr="00CF36E8">
              <w:rPr>
                <w:rFonts w:ascii="宋体" w:hAnsi="宋体" w:cs="宋体" w:hint="eastAsia"/>
                <w:bCs/>
                <w:sz w:val="18"/>
                <w:szCs w:val="18"/>
              </w:rPr>
              <w:t>伊核谈判</w:t>
            </w:r>
            <w:proofErr w:type="gramEnd"/>
            <w:r w:rsidRPr="00CF36E8">
              <w:rPr>
                <w:rFonts w:ascii="宋体" w:hAnsi="宋体" w:cs="宋体" w:hint="eastAsia"/>
                <w:bCs/>
                <w:sz w:val="18"/>
                <w:szCs w:val="18"/>
              </w:rPr>
              <w:t>虽取得进展但还存在一些不确定性。</w:t>
            </w:r>
          </w:p>
          <w:p w:rsidR="00CF6558" w:rsidRPr="00CB380A" w:rsidRDefault="00CF36E8" w:rsidP="00CF36E8">
            <w:pPr>
              <w:widowControl/>
              <w:jc w:val="left"/>
            </w:pPr>
            <w:r w:rsidRPr="00CF36E8">
              <w:rPr>
                <w:rFonts w:ascii="宋体" w:hAnsi="宋体" w:cs="宋体" w:hint="eastAsia"/>
                <w:bCs/>
                <w:sz w:val="18"/>
                <w:szCs w:val="18"/>
              </w:rPr>
              <w:t>关注</w:t>
            </w:r>
            <w:proofErr w:type="gramStart"/>
            <w:r w:rsidRPr="00CF36E8">
              <w:rPr>
                <w:rFonts w:ascii="宋体" w:hAnsi="宋体" w:cs="宋体" w:hint="eastAsia"/>
                <w:bCs/>
                <w:sz w:val="18"/>
                <w:szCs w:val="18"/>
              </w:rPr>
              <w:t>情反弹</w:t>
            </w:r>
            <w:proofErr w:type="gramEnd"/>
            <w:r w:rsidRPr="00CF36E8">
              <w:rPr>
                <w:rFonts w:ascii="宋体" w:hAnsi="宋体" w:cs="宋体" w:hint="eastAsia"/>
                <w:bCs/>
                <w:sz w:val="18"/>
                <w:szCs w:val="18"/>
              </w:rPr>
              <w:t>下的全球经济前景、全球原油供需前景、中国经济的复苏前景、中东地缘形势、OPEC+会议、美国炼油厂产能恢复情况</w:t>
            </w:r>
          </w:p>
        </w:tc>
      </w:tr>
      <w:tr w:rsidR="00CF6558" w:rsidTr="009F3CDD">
        <w:trPr>
          <w:trHeight w:val="401"/>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EG</w:t>
            </w:r>
          </w:p>
        </w:tc>
        <w:tc>
          <w:tcPr>
            <w:tcW w:w="1123" w:type="dxa"/>
            <w:vAlign w:val="center"/>
          </w:tcPr>
          <w:p w:rsidR="00CF6558" w:rsidRPr="00CB380A" w:rsidRDefault="00653621" w:rsidP="00D70C06">
            <w:pPr>
              <w:jc w:val="center"/>
            </w:pPr>
            <w:r>
              <w:t>震荡</w:t>
            </w:r>
          </w:p>
        </w:tc>
        <w:tc>
          <w:tcPr>
            <w:tcW w:w="7380" w:type="dxa"/>
            <w:vMerge/>
            <w:vAlign w:val="center"/>
          </w:tcPr>
          <w:p w:rsidR="00CF6558" w:rsidRPr="00CB380A" w:rsidRDefault="00CF6558"/>
        </w:tc>
      </w:tr>
      <w:tr w:rsidR="00CF6558" w:rsidTr="009F3CDD">
        <w:trPr>
          <w:trHeight w:val="55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原油</w:t>
            </w:r>
          </w:p>
        </w:tc>
        <w:tc>
          <w:tcPr>
            <w:tcW w:w="1123" w:type="dxa"/>
            <w:vAlign w:val="center"/>
          </w:tcPr>
          <w:p w:rsidR="00CF6558" w:rsidRDefault="00653621">
            <w:pPr>
              <w:jc w:val="center"/>
            </w:pPr>
            <w:r>
              <w:rPr>
                <w:rFonts w:hint="eastAsia"/>
              </w:rPr>
              <w:t>短线空单持有</w:t>
            </w:r>
          </w:p>
        </w:tc>
        <w:tc>
          <w:tcPr>
            <w:tcW w:w="7380" w:type="dxa"/>
            <w:vMerge/>
            <w:vAlign w:val="center"/>
          </w:tcPr>
          <w:p w:rsidR="00CF6558" w:rsidRPr="00CB380A" w:rsidRDefault="00CF6558"/>
        </w:tc>
      </w:tr>
      <w:tr w:rsidR="00CF6558" w:rsidTr="00104F4D">
        <w:trPr>
          <w:trHeight w:val="62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沥青</w:t>
            </w:r>
          </w:p>
        </w:tc>
        <w:tc>
          <w:tcPr>
            <w:tcW w:w="1123" w:type="dxa"/>
            <w:vAlign w:val="center"/>
          </w:tcPr>
          <w:p w:rsidR="00CF6558" w:rsidRDefault="00653621">
            <w:pPr>
              <w:jc w:val="center"/>
            </w:pPr>
            <w:r>
              <w:rPr>
                <w:rFonts w:hint="eastAsia"/>
              </w:rPr>
              <w:t>观望</w:t>
            </w:r>
          </w:p>
        </w:tc>
        <w:tc>
          <w:tcPr>
            <w:tcW w:w="7380" w:type="dxa"/>
            <w:vMerge/>
            <w:vAlign w:val="center"/>
          </w:tcPr>
          <w:p w:rsidR="00CF6558" w:rsidRDefault="00CF6558">
            <w:pPr>
              <w:rPr>
                <w:rFonts w:ascii="宋体" w:hAnsi="宋体" w:cs="宋体"/>
                <w:kern w:val="0"/>
                <w:sz w:val="18"/>
                <w:szCs w:val="18"/>
              </w:rPr>
            </w:pPr>
          </w:p>
        </w:tc>
      </w:tr>
      <w:tr w:rsidR="00CF6558">
        <w:trPr>
          <w:trHeight w:val="3018"/>
          <w:jc w:val="center"/>
        </w:trPr>
        <w:tc>
          <w:tcPr>
            <w:tcW w:w="630" w:type="dxa"/>
            <w:vMerge w:val="restart"/>
            <w:vAlign w:val="center"/>
          </w:tcPr>
          <w:p w:rsidR="00CF6558" w:rsidRDefault="00653621">
            <w:pPr>
              <w:rPr>
                <w:rFonts w:ascii="宋体" w:hAnsi="宋体"/>
                <w:b/>
                <w:sz w:val="24"/>
                <w:szCs w:val="21"/>
              </w:rPr>
            </w:pPr>
            <w:proofErr w:type="gramStart"/>
            <w:r>
              <w:rPr>
                <w:rFonts w:ascii="宋体" w:hAnsi="宋体" w:hint="eastAsia"/>
                <w:b/>
                <w:sz w:val="24"/>
                <w:szCs w:val="21"/>
              </w:rPr>
              <w:t>软商品</w:t>
            </w:r>
            <w:proofErr w:type="gramEnd"/>
          </w:p>
        </w:tc>
        <w:tc>
          <w:tcPr>
            <w:tcW w:w="924" w:type="dxa"/>
            <w:vAlign w:val="center"/>
          </w:tcPr>
          <w:p w:rsidR="00CF6558" w:rsidRDefault="00653621">
            <w:pPr>
              <w:jc w:val="center"/>
              <w:rPr>
                <w:rFonts w:ascii="宋体" w:hAnsi="宋体"/>
                <w:szCs w:val="21"/>
              </w:rPr>
            </w:pPr>
            <w:r>
              <w:rPr>
                <w:rFonts w:ascii="宋体" w:hAnsi="宋体" w:hint="eastAsia"/>
                <w:szCs w:val="21"/>
              </w:rPr>
              <w:t>棉花</w:t>
            </w:r>
          </w:p>
        </w:tc>
        <w:tc>
          <w:tcPr>
            <w:tcW w:w="1123" w:type="dxa"/>
            <w:vAlign w:val="center"/>
          </w:tcPr>
          <w:p w:rsidR="00CF6558" w:rsidRDefault="00625BA0" w:rsidP="001806BA">
            <w:pPr>
              <w:jc w:val="center"/>
            </w:pPr>
            <w:r>
              <w:rPr>
                <w:rFonts w:hint="eastAsia"/>
              </w:rPr>
              <w:t>震荡</w:t>
            </w:r>
            <w:r w:rsidR="000D5F2D">
              <w:rPr>
                <w:rFonts w:hint="eastAsia"/>
              </w:rPr>
              <w:t>走高</w:t>
            </w:r>
          </w:p>
        </w:tc>
        <w:tc>
          <w:tcPr>
            <w:tcW w:w="7380" w:type="dxa"/>
            <w:vMerge w:val="restart"/>
            <w:vAlign w:val="center"/>
          </w:tcPr>
          <w:p w:rsidR="00CF36E8" w:rsidRPr="00CF36E8" w:rsidRDefault="00653621" w:rsidP="00CF36E8">
            <w:pPr>
              <w:rPr>
                <w:rFonts w:ascii="宋体" w:hAnsi="宋体" w:cs="宋体" w:hint="eastAsia"/>
                <w:bCs/>
                <w:sz w:val="18"/>
                <w:szCs w:val="18"/>
              </w:rPr>
            </w:pPr>
            <w:r>
              <w:rPr>
                <w:rFonts w:ascii="宋体" w:hAnsi="宋体" w:cs="宋体" w:hint="eastAsia"/>
                <w:b/>
                <w:sz w:val="18"/>
                <w:szCs w:val="18"/>
              </w:rPr>
              <w:t>棉花：</w:t>
            </w:r>
            <w:r w:rsidR="00CF36E8" w:rsidRPr="00CF36E8">
              <w:rPr>
                <w:rFonts w:ascii="宋体" w:hAnsi="宋体" w:cs="宋体" w:hint="eastAsia"/>
                <w:bCs/>
                <w:sz w:val="18"/>
                <w:szCs w:val="18"/>
              </w:rPr>
              <w:t>郑棉走高，突破多根重要均线，摆脱低位盘整形态，宏观面驱动减弱，但自身基本面良好。</w:t>
            </w:r>
          </w:p>
          <w:p w:rsidR="00CF36E8" w:rsidRPr="00CF36E8" w:rsidRDefault="00CF36E8" w:rsidP="00CF36E8">
            <w:pPr>
              <w:rPr>
                <w:rFonts w:ascii="宋体" w:hAnsi="宋体" w:cs="宋体" w:hint="eastAsia"/>
                <w:bCs/>
                <w:sz w:val="18"/>
                <w:szCs w:val="18"/>
              </w:rPr>
            </w:pPr>
            <w:r w:rsidRPr="00CF36E8">
              <w:rPr>
                <w:rFonts w:ascii="宋体" w:hAnsi="宋体" w:cs="宋体" w:hint="eastAsia"/>
                <w:bCs/>
                <w:sz w:val="18"/>
                <w:szCs w:val="18"/>
              </w:rPr>
              <w:t>近期抛储传言带来的利空效应减弱；日前央行官员表态人民币升值过快、可能已经出现超调，提高外汇存款准备金率有助于缓解人民币升值</w:t>
            </w:r>
            <w:proofErr w:type="gramStart"/>
            <w:r w:rsidRPr="00CF36E8">
              <w:rPr>
                <w:rFonts w:ascii="宋体" w:hAnsi="宋体" w:cs="宋体" w:hint="eastAsia"/>
                <w:bCs/>
                <w:sz w:val="18"/>
                <w:szCs w:val="18"/>
              </w:rPr>
              <w:t>对纺服出口</w:t>
            </w:r>
            <w:proofErr w:type="gramEnd"/>
            <w:r w:rsidRPr="00CF36E8">
              <w:rPr>
                <w:rFonts w:ascii="宋体" w:hAnsi="宋体" w:cs="宋体" w:hint="eastAsia"/>
                <w:bCs/>
                <w:sz w:val="18"/>
                <w:szCs w:val="18"/>
              </w:rPr>
              <w:t>的压力。</w:t>
            </w:r>
          </w:p>
          <w:p w:rsidR="00CF36E8" w:rsidRPr="00CF36E8" w:rsidRDefault="00CF36E8" w:rsidP="00CF36E8">
            <w:pPr>
              <w:rPr>
                <w:rFonts w:ascii="宋体" w:hAnsi="宋体" w:cs="宋体" w:hint="eastAsia"/>
                <w:bCs/>
                <w:sz w:val="18"/>
                <w:szCs w:val="18"/>
              </w:rPr>
            </w:pPr>
            <w:r w:rsidRPr="00CF36E8">
              <w:rPr>
                <w:rFonts w:ascii="宋体" w:hAnsi="宋体" w:cs="宋体" w:hint="eastAsia"/>
                <w:bCs/>
                <w:sz w:val="18"/>
                <w:szCs w:val="18"/>
              </w:rPr>
              <w:t>全球经济处在恢复过程中，国内整体需求、市场心态尚可，企业接单仍很顺畅，成品库存低。东南亚疫情集中爆发，外贸订单二、三季度继续回流的可能性较大。</w:t>
            </w:r>
          </w:p>
          <w:p w:rsidR="00CF36E8" w:rsidRDefault="00CF36E8" w:rsidP="00CF36E8">
            <w:pPr>
              <w:rPr>
                <w:rFonts w:ascii="宋体" w:hAnsi="宋体" w:cs="宋体"/>
                <w:bCs/>
                <w:sz w:val="18"/>
                <w:szCs w:val="18"/>
              </w:rPr>
            </w:pPr>
            <w:r w:rsidRPr="00CF36E8">
              <w:rPr>
                <w:rFonts w:ascii="宋体" w:hAnsi="宋体" w:cs="宋体" w:hint="eastAsia"/>
                <w:bCs/>
                <w:sz w:val="18"/>
                <w:szCs w:val="18"/>
              </w:rPr>
              <w:t>需求恢复的同时，全球新年度棉花产出仍存变数，美</w:t>
            </w:r>
            <w:proofErr w:type="gramStart"/>
            <w:r w:rsidRPr="00CF36E8">
              <w:rPr>
                <w:rFonts w:ascii="宋体" w:hAnsi="宋体" w:cs="宋体" w:hint="eastAsia"/>
                <w:bCs/>
                <w:sz w:val="18"/>
                <w:szCs w:val="18"/>
              </w:rPr>
              <w:t>棉差苗率远高去年</w:t>
            </w:r>
            <w:proofErr w:type="gramEnd"/>
            <w:r w:rsidRPr="00CF36E8">
              <w:rPr>
                <w:rFonts w:ascii="宋体" w:hAnsi="宋体" w:cs="宋体" w:hint="eastAsia"/>
                <w:bCs/>
                <w:sz w:val="18"/>
                <w:szCs w:val="18"/>
              </w:rPr>
              <w:t>同期，新疆播种期天气异常也给后期产量带来潜在影响，盘面存在天气炒作机会。</w:t>
            </w:r>
          </w:p>
          <w:p w:rsidR="00C07B5C" w:rsidRPr="00C07B5C" w:rsidRDefault="00653621" w:rsidP="00C07B5C">
            <w:pPr>
              <w:rPr>
                <w:rFonts w:ascii="宋体" w:hAnsi="宋体" w:cs="宋体" w:hint="eastAsia"/>
                <w:sz w:val="18"/>
                <w:szCs w:val="18"/>
              </w:rPr>
            </w:pPr>
            <w:r>
              <w:rPr>
                <w:rFonts w:ascii="宋体" w:hAnsi="宋体" w:cs="宋体" w:hint="eastAsia"/>
                <w:b/>
                <w:bCs/>
                <w:sz w:val="18"/>
                <w:szCs w:val="18"/>
              </w:rPr>
              <w:t>橡胶：</w:t>
            </w:r>
            <w:r w:rsidR="00C07B5C" w:rsidRPr="00C07B5C">
              <w:rPr>
                <w:rFonts w:ascii="宋体" w:hAnsi="宋体" w:cs="宋体" w:hint="eastAsia"/>
                <w:sz w:val="18"/>
                <w:szCs w:val="18"/>
              </w:rPr>
              <w:t>胶价小幅反弹，期价仍被压制在均线系统下方运行，预计总体还将维持区间弱势运行格局。</w:t>
            </w:r>
          </w:p>
          <w:p w:rsidR="00CF6558" w:rsidRPr="00BD5563" w:rsidRDefault="00C07B5C" w:rsidP="00C07B5C">
            <w:pPr>
              <w:rPr>
                <w:rFonts w:ascii="宋体" w:hAnsi="宋体" w:cs="宋体"/>
                <w:sz w:val="18"/>
                <w:szCs w:val="18"/>
              </w:rPr>
            </w:pPr>
            <w:r w:rsidRPr="00C07B5C">
              <w:rPr>
                <w:rFonts w:ascii="宋体" w:hAnsi="宋体" w:cs="宋体" w:hint="eastAsia"/>
                <w:sz w:val="18"/>
                <w:szCs w:val="18"/>
              </w:rPr>
              <w:t>需求端，内销出货缓慢，外销则受国际航运费用上升和货柜紧缺问题影响，导致轮胎厂开工负荷继续下跌，5月车市数据预计会全面下降，这种需求减弱格局将维持数月。进入二、三季度全球天然橡胶产量性增产季节，新胶水价格有所下调，供应端压力预期加大是肯定的，后期橡胶供给提升预期较强对胶价形成打压。不过当前国内天然橡胶期货库存仍然维持低位，且市场预计进口量将偏低，现货库存连续呈现下降态势对胶价形成支撑。</w:t>
            </w:r>
          </w:p>
        </w:tc>
      </w:tr>
      <w:tr w:rsidR="00CF6558">
        <w:trPr>
          <w:trHeight w:val="90"/>
          <w:jc w:val="center"/>
        </w:trPr>
        <w:tc>
          <w:tcPr>
            <w:tcW w:w="630" w:type="dxa"/>
            <w:vMerge/>
            <w:vAlign w:val="center"/>
          </w:tcPr>
          <w:p w:rsidR="00CF6558" w:rsidRDefault="00CF6558"/>
        </w:tc>
        <w:tc>
          <w:tcPr>
            <w:tcW w:w="924" w:type="dxa"/>
            <w:vAlign w:val="center"/>
          </w:tcPr>
          <w:p w:rsidR="00CF6558" w:rsidRDefault="00653621">
            <w:pPr>
              <w:jc w:val="center"/>
            </w:pPr>
            <w:r>
              <w:t>橡胶</w:t>
            </w:r>
          </w:p>
        </w:tc>
        <w:tc>
          <w:tcPr>
            <w:tcW w:w="1123" w:type="dxa"/>
            <w:vAlign w:val="center"/>
          </w:tcPr>
          <w:p w:rsidR="00CF6558" w:rsidRDefault="00653621" w:rsidP="00670288">
            <w:pPr>
              <w:jc w:val="center"/>
            </w:pPr>
            <w:r>
              <w:rPr>
                <w:rFonts w:hint="eastAsia"/>
              </w:rPr>
              <w:t>震荡</w:t>
            </w:r>
            <w:r w:rsidR="00E31876">
              <w:rPr>
                <w:rFonts w:hint="eastAsia"/>
              </w:rPr>
              <w:t>回落</w:t>
            </w:r>
          </w:p>
        </w:tc>
        <w:tc>
          <w:tcPr>
            <w:tcW w:w="7380" w:type="dxa"/>
            <w:vMerge/>
            <w:vAlign w:val="center"/>
          </w:tcPr>
          <w:p w:rsidR="00CF6558" w:rsidRDefault="00CF6558">
            <w:pPr>
              <w:rPr>
                <w:rFonts w:ascii="宋体" w:hAnsi="宋体" w:cs="宋体"/>
                <w:sz w:val="18"/>
                <w:szCs w:val="18"/>
              </w:rPr>
            </w:pPr>
          </w:p>
        </w:tc>
      </w:tr>
      <w:tr w:rsidR="00CF6558">
        <w:trPr>
          <w:trHeight w:val="420"/>
          <w:jc w:val="center"/>
        </w:trPr>
        <w:tc>
          <w:tcPr>
            <w:tcW w:w="630" w:type="dxa"/>
            <w:vAlign w:val="center"/>
          </w:tcPr>
          <w:p w:rsidR="00CF6558" w:rsidRDefault="00653621">
            <w:r>
              <w:rPr>
                <w:rFonts w:ascii="宋体" w:hAnsi="宋体" w:hint="eastAsia"/>
                <w:b/>
                <w:sz w:val="24"/>
                <w:szCs w:val="21"/>
              </w:rPr>
              <w:t>金融</w:t>
            </w:r>
          </w:p>
        </w:tc>
        <w:tc>
          <w:tcPr>
            <w:tcW w:w="924" w:type="dxa"/>
            <w:vAlign w:val="center"/>
          </w:tcPr>
          <w:p w:rsidR="00CF6558" w:rsidRDefault="006536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 w:left="105"/>
              <w:jc w:val="left"/>
              <w:rPr>
                <w:rFonts w:ascii="inherit" w:hAnsi="inherit" w:cs="宋体" w:hint="eastAsia"/>
                <w:color w:val="000000"/>
                <w:kern w:val="0"/>
                <w:szCs w:val="21"/>
              </w:rPr>
            </w:pPr>
            <w:r>
              <w:rPr>
                <w:rFonts w:ascii="inherit" w:hAnsi="inherit" w:cs="宋体"/>
                <w:color w:val="000000"/>
                <w:kern w:val="0"/>
                <w:szCs w:val="21"/>
              </w:rPr>
              <w:t>沪深</w:t>
            </w:r>
            <w:r>
              <w:rPr>
                <w:rFonts w:ascii="inherit" w:hAnsi="inherit" w:cs="宋体"/>
                <w:color w:val="000000"/>
                <w:kern w:val="0"/>
                <w:szCs w:val="21"/>
              </w:rPr>
              <w:t>300</w:t>
            </w:r>
          </w:p>
          <w:p w:rsidR="00CF6558" w:rsidRDefault="00CF6558">
            <w:pPr>
              <w:jc w:val="center"/>
            </w:pPr>
          </w:p>
        </w:tc>
        <w:tc>
          <w:tcPr>
            <w:tcW w:w="1123" w:type="dxa"/>
            <w:vAlign w:val="center"/>
          </w:tcPr>
          <w:p w:rsidR="00CF6558" w:rsidRDefault="00653621">
            <w:pPr>
              <w:jc w:val="center"/>
            </w:pPr>
            <w:r>
              <w:rPr>
                <w:rFonts w:hint="eastAsia"/>
              </w:rPr>
              <w:t>宽幅震荡</w:t>
            </w:r>
          </w:p>
        </w:tc>
        <w:tc>
          <w:tcPr>
            <w:tcW w:w="7380" w:type="dxa"/>
            <w:vAlign w:val="center"/>
          </w:tcPr>
          <w:p w:rsidR="00CF6558" w:rsidRDefault="00C07B5C">
            <w:pPr>
              <w:spacing w:line="276" w:lineRule="auto"/>
              <w:rPr>
                <w:rFonts w:ascii="宋体" w:hAnsi="宋体" w:cs="宋体"/>
                <w:sz w:val="18"/>
                <w:szCs w:val="18"/>
              </w:rPr>
            </w:pPr>
            <w:r w:rsidRPr="00C07B5C">
              <w:rPr>
                <w:rFonts w:ascii="宋体" w:hAnsi="宋体" w:cs="宋体" w:hint="eastAsia"/>
                <w:sz w:val="18"/>
                <w:szCs w:val="18"/>
              </w:rPr>
              <w:t>沪深 300 股指下跌0.66%，上证 50 股指下跌0.86%，中证 500 股指下跌0.21%。稀土、铁矿石板块资金流入，化纤、</w:t>
            </w:r>
            <w:proofErr w:type="gramStart"/>
            <w:r w:rsidRPr="00C07B5C">
              <w:rPr>
                <w:rFonts w:ascii="宋体" w:hAnsi="宋体" w:cs="宋体" w:hint="eastAsia"/>
                <w:sz w:val="18"/>
                <w:szCs w:val="18"/>
              </w:rPr>
              <w:t>光伏等板块</w:t>
            </w:r>
            <w:proofErr w:type="gramEnd"/>
            <w:r w:rsidRPr="00C07B5C">
              <w:rPr>
                <w:rFonts w:ascii="宋体" w:hAnsi="宋体" w:cs="宋体" w:hint="eastAsia"/>
                <w:sz w:val="18"/>
                <w:szCs w:val="18"/>
              </w:rPr>
              <w:t>资金流出，北向资金净买入额为15.21亿元。欧洲股市小幅下挫，</w:t>
            </w:r>
            <w:proofErr w:type="gramStart"/>
            <w:r w:rsidRPr="00C07B5C">
              <w:rPr>
                <w:rFonts w:ascii="宋体" w:hAnsi="宋体" w:cs="宋体" w:hint="eastAsia"/>
                <w:sz w:val="18"/>
                <w:szCs w:val="18"/>
              </w:rPr>
              <w:t>美国标普股指</w:t>
            </w:r>
            <w:proofErr w:type="gramEnd"/>
            <w:r w:rsidRPr="00C07B5C">
              <w:rPr>
                <w:rFonts w:ascii="宋体" w:hAnsi="宋体" w:cs="宋体" w:hint="eastAsia"/>
                <w:sz w:val="18"/>
                <w:szCs w:val="18"/>
              </w:rPr>
              <w:t>小幅回落。国内货币市场FR007回落11bps，SHIBOR3M下调1bp。股票指数波动率窄幅震荡， CBOE VIX 反弹，CBOE 中国 ETF 波动率下降。三大股指期货主力</w:t>
            </w:r>
            <w:proofErr w:type="gramStart"/>
            <w:r w:rsidRPr="00C07B5C">
              <w:rPr>
                <w:rFonts w:ascii="宋体" w:hAnsi="宋体" w:cs="宋体" w:hint="eastAsia"/>
                <w:sz w:val="18"/>
                <w:szCs w:val="18"/>
              </w:rPr>
              <w:t>合约基差下行</w:t>
            </w:r>
            <w:proofErr w:type="gramEnd"/>
            <w:r w:rsidRPr="00C07B5C">
              <w:rPr>
                <w:rFonts w:ascii="宋体" w:hAnsi="宋体" w:cs="宋体" w:hint="eastAsia"/>
                <w:sz w:val="18"/>
                <w:szCs w:val="18"/>
              </w:rPr>
              <w:t>，三大股指期货主力</w:t>
            </w:r>
            <w:proofErr w:type="gramStart"/>
            <w:r w:rsidRPr="00C07B5C">
              <w:rPr>
                <w:rFonts w:ascii="宋体" w:hAnsi="宋体" w:cs="宋体" w:hint="eastAsia"/>
                <w:sz w:val="18"/>
                <w:szCs w:val="18"/>
              </w:rPr>
              <w:t>合约基差为</w:t>
            </w:r>
            <w:proofErr w:type="gramEnd"/>
            <w:r w:rsidRPr="00C07B5C">
              <w:rPr>
                <w:rFonts w:ascii="宋体" w:hAnsi="宋体" w:cs="宋体" w:hint="eastAsia"/>
                <w:sz w:val="18"/>
                <w:szCs w:val="18"/>
              </w:rPr>
              <w:t>正值。外盘震荡，国内资金短期利率下行，建议股指多头持有，国债多头补仓。</w:t>
            </w:r>
            <w:bookmarkStart w:id="3" w:name="_GoBack"/>
            <w:bookmarkEnd w:id="3"/>
          </w:p>
        </w:tc>
      </w:tr>
    </w:tbl>
    <w:p w:rsidR="00CF6558" w:rsidRDefault="00CF6558">
      <w:pPr>
        <w:widowControl/>
        <w:spacing w:line="300" w:lineRule="auto"/>
        <w:jc w:val="left"/>
        <w:rPr>
          <w:sz w:val="24"/>
        </w:rPr>
      </w:pPr>
    </w:p>
    <w:bookmarkEnd w:id="0"/>
    <w:bookmarkEnd w:id="1"/>
    <w:p w:rsidR="00CF6558" w:rsidRDefault="00653621">
      <w:pPr>
        <w:widowControl/>
        <w:numPr>
          <w:ilvl w:val="0"/>
          <w:numId w:val="1"/>
        </w:numPr>
        <w:spacing w:line="300" w:lineRule="auto"/>
        <w:jc w:val="left"/>
      </w:pPr>
      <w:r>
        <w:rPr>
          <w:rFonts w:hint="eastAsia"/>
        </w:rPr>
        <w:t>重点品种产业链资讯热点</w:t>
      </w:r>
      <w:bookmarkEnd w:id="2"/>
    </w:p>
    <w:tbl>
      <w:tblPr>
        <w:tblpPr w:leftFromText="180" w:rightFromText="180" w:vertAnchor="text" w:tblpX="-70" w:tblpY="1"/>
        <w:tblOverlap w:val="never"/>
        <w:tblW w:w="10100" w:type="dxa"/>
        <w:tblBorders>
          <w:top w:val="single" w:sz="8" w:space="0" w:color="FF0000"/>
          <w:left w:val="dashed" w:sz="4" w:space="0" w:color="FF0000"/>
          <w:bottom w:val="single" w:sz="8" w:space="0" w:color="FF0000"/>
          <w:right w:val="dashed" w:sz="4" w:space="0" w:color="FF0000"/>
          <w:insideH w:val="single" w:sz="8" w:space="0" w:color="FF0000"/>
          <w:insideV w:val="single" w:sz="8" w:space="0" w:color="FF0000"/>
        </w:tblBorders>
        <w:tblLayout w:type="fixed"/>
        <w:tblLook w:val="04A0" w:firstRow="1" w:lastRow="0" w:firstColumn="1" w:lastColumn="0" w:noHBand="0" w:noVBand="1"/>
      </w:tblPr>
      <w:tblGrid>
        <w:gridCol w:w="10100"/>
      </w:tblGrid>
      <w:tr w:rsidR="00CF6558">
        <w:trPr>
          <w:trHeight w:val="90"/>
        </w:trPr>
        <w:tc>
          <w:tcPr>
            <w:tcW w:w="10100" w:type="dxa"/>
          </w:tcPr>
          <w:p w:rsidR="00CF6558" w:rsidRDefault="00653621">
            <w:pPr>
              <w:widowControl/>
              <w:jc w:val="center"/>
            </w:pPr>
            <w:bookmarkStart w:id="4" w:name="_Hlk505344099"/>
            <w:r>
              <w:rPr>
                <w:rFonts w:ascii="宋体" w:hAnsi="宋体" w:hint="eastAsia"/>
                <w:szCs w:val="21"/>
              </w:rPr>
              <w:t>宏观</w:t>
            </w:r>
          </w:p>
        </w:tc>
      </w:tr>
      <w:tr w:rsidR="00CF6558">
        <w:trPr>
          <w:trHeight w:val="689"/>
        </w:trPr>
        <w:tc>
          <w:tcPr>
            <w:tcW w:w="10100" w:type="dxa"/>
            <w:tcBorders>
              <w:bottom w:val="single" w:sz="8" w:space="0" w:color="FF0000"/>
            </w:tcBorders>
          </w:tcPr>
          <w:p w:rsidR="00C07B5C" w:rsidRPr="00C07B5C" w:rsidRDefault="00C07B5C" w:rsidP="00C07B5C">
            <w:pPr>
              <w:widowControl/>
              <w:shd w:val="clear" w:color="auto" w:fill="FEFFFF"/>
              <w:rPr>
                <w:rFonts w:ascii="宋体" w:hAnsi="宋体" w:cs="宋体" w:hint="eastAsia"/>
                <w:color w:val="333333"/>
                <w:spacing w:val="10"/>
                <w:sz w:val="18"/>
                <w:szCs w:val="18"/>
              </w:rPr>
            </w:pPr>
            <w:r w:rsidRPr="00C07B5C">
              <w:rPr>
                <w:rFonts w:ascii="宋体" w:hAnsi="宋体" w:cs="宋体" w:hint="eastAsia"/>
                <w:color w:val="333333"/>
                <w:spacing w:val="10"/>
                <w:sz w:val="18"/>
                <w:szCs w:val="18"/>
              </w:rPr>
              <w:t>1、国务院领导人对全国就业创业工作</w:t>
            </w:r>
            <w:proofErr w:type="gramStart"/>
            <w:r w:rsidRPr="00C07B5C">
              <w:rPr>
                <w:rFonts w:ascii="宋体" w:hAnsi="宋体" w:cs="宋体" w:hint="eastAsia"/>
                <w:color w:val="333333"/>
                <w:spacing w:val="10"/>
                <w:sz w:val="18"/>
                <w:szCs w:val="18"/>
              </w:rPr>
              <w:t>暨普通</w:t>
            </w:r>
            <w:proofErr w:type="gramEnd"/>
            <w:r w:rsidRPr="00C07B5C">
              <w:rPr>
                <w:rFonts w:ascii="宋体" w:hAnsi="宋体" w:cs="宋体" w:hint="eastAsia"/>
                <w:color w:val="333333"/>
                <w:spacing w:val="10"/>
                <w:sz w:val="18"/>
                <w:szCs w:val="18"/>
              </w:rPr>
              <w:t>高等学校毕业生就业创业工作电视电话会议</w:t>
            </w:r>
            <w:proofErr w:type="gramStart"/>
            <w:r w:rsidRPr="00C07B5C">
              <w:rPr>
                <w:rFonts w:ascii="宋体" w:hAnsi="宋体" w:cs="宋体" w:hint="eastAsia"/>
                <w:color w:val="333333"/>
                <w:spacing w:val="10"/>
                <w:sz w:val="18"/>
                <w:szCs w:val="18"/>
              </w:rPr>
              <w:t>作出</w:t>
            </w:r>
            <w:proofErr w:type="gramEnd"/>
            <w:r w:rsidRPr="00C07B5C">
              <w:rPr>
                <w:rFonts w:ascii="宋体" w:hAnsi="宋体" w:cs="宋体" w:hint="eastAsia"/>
                <w:color w:val="333333"/>
                <w:spacing w:val="10"/>
                <w:sz w:val="18"/>
                <w:szCs w:val="18"/>
              </w:rPr>
              <w:t>重要批示强调，提供更多市场化就业创业机会，支持和规范发展新就业形态，努力完成全年就业目标任务。</w:t>
            </w:r>
          </w:p>
          <w:p w:rsidR="00C07B5C" w:rsidRPr="00C07B5C" w:rsidRDefault="00C07B5C" w:rsidP="00C07B5C">
            <w:pPr>
              <w:widowControl/>
              <w:shd w:val="clear" w:color="auto" w:fill="FEFFFF"/>
              <w:rPr>
                <w:rFonts w:ascii="宋体" w:hAnsi="宋体" w:cs="宋体" w:hint="eastAsia"/>
                <w:color w:val="333333"/>
                <w:spacing w:val="10"/>
                <w:sz w:val="18"/>
                <w:szCs w:val="18"/>
              </w:rPr>
            </w:pPr>
            <w:r w:rsidRPr="00C07B5C">
              <w:rPr>
                <w:rFonts w:ascii="宋体" w:hAnsi="宋体" w:cs="宋体" w:hint="eastAsia"/>
                <w:color w:val="333333"/>
                <w:spacing w:val="10"/>
                <w:sz w:val="18"/>
                <w:szCs w:val="18"/>
              </w:rPr>
              <w:lastRenderedPageBreak/>
              <w:t>2、商务部：中美经贸领域已开始正常沟通，双方同意，下一步要从有利于中美两国和整个世界的角度，共同努力，为生产者和消费者务实地解决一些具体问题，推动中美经贸关系健康稳定发展。</w:t>
            </w:r>
          </w:p>
          <w:p w:rsidR="00C07B5C" w:rsidRPr="00C07B5C" w:rsidRDefault="00C07B5C" w:rsidP="00C07B5C">
            <w:pPr>
              <w:widowControl/>
              <w:shd w:val="clear" w:color="auto" w:fill="FEFFFF"/>
              <w:rPr>
                <w:rFonts w:ascii="宋体" w:hAnsi="宋体" w:cs="宋体" w:hint="eastAsia"/>
                <w:color w:val="333333"/>
                <w:spacing w:val="10"/>
                <w:sz w:val="18"/>
                <w:szCs w:val="18"/>
              </w:rPr>
            </w:pPr>
            <w:r w:rsidRPr="00C07B5C">
              <w:rPr>
                <w:rFonts w:ascii="宋体" w:hAnsi="宋体" w:cs="宋体" w:hint="eastAsia"/>
                <w:color w:val="333333"/>
                <w:spacing w:val="10"/>
                <w:sz w:val="18"/>
                <w:szCs w:val="18"/>
              </w:rPr>
              <w:t>3、财政部、农业农村部联合印发通知，对2021年中央财政支持粮食生产的一揽子政策进行全面部署，统筹加大对粮食生产的支持力度。据介绍，此次明确的支持粮食生产的一揽子政策主要包括：加强高标准农田建设，在全国建设高标准农田1亿亩；强化黑土地保护利用，其中在东北地区实施黑土地保护性耕作7000万亩；组织实施耕地轮作休耕面积4000万亩以上。</w:t>
            </w:r>
          </w:p>
          <w:p w:rsidR="00C07B5C" w:rsidRPr="00C07B5C" w:rsidRDefault="00C07B5C" w:rsidP="00C07B5C">
            <w:pPr>
              <w:widowControl/>
              <w:shd w:val="clear" w:color="auto" w:fill="FEFFFF"/>
              <w:rPr>
                <w:rFonts w:ascii="宋体" w:hAnsi="宋体" w:cs="宋体" w:hint="eastAsia"/>
                <w:color w:val="333333"/>
                <w:spacing w:val="10"/>
                <w:sz w:val="18"/>
                <w:szCs w:val="18"/>
              </w:rPr>
            </w:pPr>
            <w:r w:rsidRPr="00C07B5C">
              <w:rPr>
                <w:rFonts w:ascii="宋体" w:hAnsi="宋体" w:cs="宋体" w:hint="eastAsia"/>
                <w:color w:val="333333"/>
                <w:spacing w:val="10"/>
                <w:sz w:val="18"/>
                <w:szCs w:val="18"/>
              </w:rPr>
              <w:t>4、重庆蚂蚁消费金融有限公司获批开业。银保监会</w:t>
            </w:r>
            <w:proofErr w:type="gramStart"/>
            <w:r w:rsidRPr="00C07B5C">
              <w:rPr>
                <w:rFonts w:ascii="宋体" w:hAnsi="宋体" w:cs="宋体" w:hint="eastAsia"/>
                <w:color w:val="333333"/>
                <w:spacing w:val="10"/>
                <w:sz w:val="18"/>
                <w:szCs w:val="18"/>
              </w:rPr>
              <w:t>非银部有关</w:t>
            </w:r>
            <w:proofErr w:type="gramEnd"/>
            <w:r w:rsidRPr="00C07B5C">
              <w:rPr>
                <w:rFonts w:ascii="宋体" w:hAnsi="宋体" w:cs="宋体" w:hint="eastAsia"/>
                <w:color w:val="333333"/>
                <w:spacing w:val="10"/>
                <w:sz w:val="18"/>
                <w:szCs w:val="18"/>
              </w:rPr>
              <w:t>负责人表示，蚂蚁消费金融公司作为一家持牌金融机构，必须依法接受监管，严格遵守相关监管规定。按照整改方案，蚂蚁集团应在蚂蚁消费金融公司开业6个月内完成“花呗”“借呗”的品牌整改工作。整改完成后，“花呗”“借呗”将成为蚂蚁消费金融公司的专属消费信贷产品，其他金融机构借助蚂蚁集团提供的数据信息所发放的消费信贷，</w:t>
            </w:r>
            <w:proofErr w:type="gramStart"/>
            <w:r w:rsidRPr="00C07B5C">
              <w:rPr>
                <w:rFonts w:ascii="宋体" w:hAnsi="宋体" w:cs="宋体" w:hint="eastAsia"/>
                <w:color w:val="333333"/>
                <w:spacing w:val="10"/>
                <w:sz w:val="18"/>
                <w:szCs w:val="18"/>
              </w:rPr>
              <w:t>不再标挂“花呗”</w:t>
            </w:r>
            <w:proofErr w:type="gramEnd"/>
            <w:r w:rsidRPr="00C07B5C">
              <w:rPr>
                <w:rFonts w:ascii="宋体" w:hAnsi="宋体" w:cs="宋体" w:hint="eastAsia"/>
                <w:color w:val="333333"/>
                <w:spacing w:val="10"/>
                <w:sz w:val="18"/>
                <w:szCs w:val="18"/>
              </w:rPr>
              <w:t>“借呗”名称。</w:t>
            </w:r>
          </w:p>
          <w:p w:rsidR="00C07B5C" w:rsidRPr="00C07B5C" w:rsidRDefault="00C07B5C" w:rsidP="00C07B5C">
            <w:pPr>
              <w:widowControl/>
              <w:shd w:val="clear" w:color="auto" w:fill="FEFFFF"/>
              <w:rPr>
                <w:rFonts w:ascii="宋体" w:hAnsi="宋体" w:cs="宋体" w:hint="eastAsia"/>
                <w:color w:val="333333"/>
                <w:spacing w:val="10"/>
                <w:sz w:val="18"/>
                <w:szCs w:val="18"/>
              </w:rPr>
            </w:pPr>
            <w:r w:rsidRPr="00C07B5C">
              <w:rPr>
                <w:rFonts w:ascii="宋体" w:hAnsi="宋体" w:cs="宋体" w:hint="eastAsia"/>
                <w:color w:val="333333"/>
                <w:spacing w:val="10"/>
                <w:sz w:val="18"/>
                <w:szCs w:val="18"/>
              </w:rPr>
              <w:t>5、香港万得通讯社报道，欧美股市多数收跌，</w:t>
            </w:r>
            <w:proofErr w:type="gramStart"/>
            <w:r w:rsidRPr="00C07B5C">
              <w:rPr>
                <w:rFonts w:ascii="宋体" w:hAnsi="宋体" w:cs="宋体" w:hint="eastAsia"/>
                <w:color w:val="333333"/>
                <w:spacing w:val="10"/>
                <w:sz w:val="18"/>
                <w:szCs w:val="18"/>
              </w:rPr>
              <w:t>纳指跌超</w:t>
            </w:r>
            <w:proofErr w:type="gramEnd"/>
            <w:r w:rsidRPr="00C07B5C">
              <w:rPr>
                <w:rFonts w:ascii="宋体" w:hAnsi="宋体" w:cs="宋体" w:hint="eastAsia"/>
                <w:color w:val="333333"/>
                <w:spacing w:val="10"/>
                <w:sz w:val="18"/>
                <w:szCs w:val="18"/>
              </w:rPr>
              <w:t>1%，报13614.51点，</w:t>
            </w:r>
            <w:proofErr w:type="gramStart"/>
            <w:r w:rsidRPr="00C07B5C">
              <w:rPr>
                <w:rFonts w:ascii="宋体" w:hAnsi="宋体" w:cs="宋体" w:hint="eastAsia"/>
                <w:color w:val="333333"/>
                <w:spacing w:val="10"/>
                <w:sz w:val="18"/>
                <w:szCs w:val="18"/>
              </w:rPr>
              <w:t>标普</w:t>
            </w:r>
            <w:proofErr w:type="gramEnd"/>
            <w:r w:rsidRPr="00C07B5C">
              <w:rPr>
                <w:rFonts w:ascii="宋体" w:hAnsi="宋体" w:cs="宋体" w:hint="eastAsia"/>
                <w:color w:val="333333"/>
                <w:spacing w:val="10"/>
                <w:sz w:val="18"/>
                <w:szCs w:val="18"/>
              </w:rPr>
              <w:t>500指数跌0.36%，报4192.85点，道指微跌，报34577.04点；德国DAX指数涨0.34%，报15655.8点，法国CAC40指数跌0.02%，报6520.01点，英国富时100指数跌0.53%，报7070.58点。</w:t>
            </w:r>
          </w:p>
          <w:p w:rsidR="00C07B5C" w:rsidRPr="00C07B5C" w:rsidRDefault="00C07B5C" w:rsidP="00C07B5C">
            <w:pPr>
              <w:widowControl/>
              <w:shd w:val="clear" w:color="auto" w:fill="FEFFFF"/>
              <w:rPr>
                <w:rFonts w:ascii="宋体" w:hAnsi="宋体" w:cs="宋体" w:hint="eastAsia"/>
                <w:color w:val="333333"/>
                <w:spacing w:val="10"/>
                <w:sz w:val="18"/>
                <w:szCs w:val="18"/>
              </w:rPr>
            </w:pPr>
            <w:r w:rsidRPr="00C07B5C">
              <w:rPr>
                <w:rFonts w:ascii="宋体" w:hAnsi="宋体" w:cs="宋体" w:hint="eastAsia"/>
                <w:color w:val="333333"/>
                <w:spacing w:val="10"/>
                <w:sz w:val="18"/>
                <w:szCs w:val="18"/>
              </w:rPr>
              <w:t>6、</w:t>
            </w:r>
            <w:proofErr w:type="gramStart"/>
            <w:r w:rsidRPr="00C07B5C">
              <w:rPr>
                <w:rFonts w:ascii="宋体" w:hAnsi="宋体" w:cs="宋体" w:hint="eastAsia"/>
                <w:color w:val="333333"/>
                <w:spacing w:val="10"/>
                <w:sz w:val="18"/>
                <w:szCs w:val="18"/>
              </w:rPr>
              <w:t>中概网络</w:t>
            </w:r>
            <w:proofErr w:type="gramEnd"/>
            <w:r w:rsidRPr="00C07B5C">
              <w:rPr>
                <w:rFonts w:ascii="宋体" w:hAnsi="宋体" w:cs="宋体" w:hint="eastAsia"/>
                <w:color w:val="333333"/>
                <w:spacing w:val="10"/>
                <w:sz w:val="18"/>
                <w:szCs w:val="18"/>
              </w:rPr>
              <w:t>科技股收盘普跌，</w:t>
            </w:r>
            <w:proofErr w:type="spellStart"/>
            <w:r w:rsidRPr="00C07B5C">
              <w:rPr>
                <w:rFonts w:ascii="宋体" w:hAnsi="宋体" w:cs="宋体" w:hint="eastAsia"/>
                <w:color w:val="333333"/>
                <w:spacing w:val="10"/>
                <w:sz w:val="18"/>
                <w:szCs w:val="18"/>
              </w:rPr>
              <w:t>Bilibili</w:t>
            </w:r>
            <w:proofErr w:type="spellEnd"/>
            <w:r w:rsidRPr="00C07B5C">
              <w:rPr>
                <w:rFonts w:ascii="宋体" w:hAnsi="宋体" w:cs="宋体" w:hint="eastAsia"/>
                <w:color w:val="333333"/>
                <w:spacing w:val="10"/>
                <w:sz w:val="18"/>
                <w:szCs w:val="18"/>
              </w:rPr>
              <w:t>大跌5.98%，</w:t>
            </w:r>
            <w:proofErr w:type="gramStart"/>
            <w:r w:rsidRPr="00C07B5C">
              <w:rPr>
                <w:rFonts w:ascii="宋体" w:hAnsi="宋体" w:cs="宋体" w:hint="eastAsia"/>
                <w:color w:val="333333"/>
                <w:spacing w:val="10"/>
                <w:sz w:val="18"/>
                <w:szCs w:val="18"/>
              </w:rPr>
              <w:t>微博跌</w:t>
            </w:r>
            <w:proofErr w:type="gramEnd"/>
            <w:r w:rsidRPr="00C07B5C">
              <w:rPr>
                <w:rFonts w:ascii="宋体" w:hAnsi="宋体" w:cs="宋体" w:hint="eastAsia"/>
                <w:color w:val="333333"/>
                <w:spacing w:val="10"/>
                <w:sz w:val="18"/>
                <w:szCs w:val="18"/>
              </w:rPr>
              <w:t>5.44%，百度跌3.98%；</w:t>
            </w:r>
            <w:proofErr w:type="gramStart"/>
            <w:r w:rsidRPr="00C07B5C">
              <w:rPr>
                <w:rFonts w:ascii="宋体" w:hAnsi="宋体" w:cs="宋体" w:hint="eastAsia"/>
                <w:color w:val="333333"/>
                <w:spacing w:val="10"/>
                <w:sz w:val="18"/>
                <w:szCs w:val="18"/>
              </w:rPr>
              <w:t>中概电</w:t>
            </w:r>
            <w:proofErr w:type="gramEnd"/>
            <w:r w:rsidRPr="00C07B5C">
              <w:rPr>
                <w:rFonts w:ascii="宋体" w:hAnsi="宋体" w:cs="宋体" w:hint="eastAsia"/>
                <w:color w:val="333333"/>
                <w:spacing w:val="10"/>
                <w:sz w:val="18"/>
                <w:szCs w:val="18"/>
              </w:rPr>
              <w:t>商股普跌，拼多多跌4.61%，</w:t>
            </w:r>
            <w:proofErr w:type="gramStart"/>
            <w:r w:rsidRPr="00C07B5C">
              <w:rPr>
                <w:rFonts w:ascii="宋体" w:hAnsi="宋体" w:cs="宋体" w:hint="eastAsia"/>
                <w:color w:val="333333"/>
                <w:spacing w:val="10"/>
                <w:sz w:val="18"/>
                <w:szCs w:val="18"/>
              </w:rPr>
              <w:t>唯品会</w:t>
            </w:r>
            <w:proofErr w:type="gramEnd"/>
            <w:r w:rsidRPr="00C07B5C">
              <w:rPr>
                <w:rFonts w:ascii="宋体" w:hAnsi="宋体" w:cs="宋体" w:hint="eastAsia"/>
                <w:color w:val="333333"/>
                <w:spacing w:val="10"/>
                <w:sz w:val="18"/>
                <w:szCs w:val="18"/>
              </w:rPr>
              <w:t>跌2.52%，京东跌1.33%；</w:t>
            </w:r>
            <w:proofErr w:type="gramStart"/>
            <w:r w:rsidRPr="00C07B5C">
              <w:rPr>
                <w:rFonts w:ascii="宋体" w:hAnsi="宋体" w:cs="宋体" w:hint="eastAsia"/>
                <w:color w:val="333333"/>
                <w:spacing w:val="10"/>
                <w:sz w:val="18"/>
                <w:szCs w:val="18"/>
              </w:rPr>
              <w:t>中概造车</w:t>
            </w:r>
            <w:proofErr w:type="gramEnd"/>
            <w:r w:rsidRPr="00C07B5C">
              <w:rPr>
                <w:rFonts w:ascii="宋体" w:hAnsi="宋体" w:cs="宋体" w:hint="eastAsia"/>
                <w:color w:val="333333"/>
                <w:spacing w:val="10"/>
                <w:sz w:val="18"/>
                <w:szCs w:val="18"/>
              </w:rPr>
              <w:t>股涨跌分化，小鹏汽车涨2.8%，</w:t>
            </w:r>
            <w:proofErr w:type="gramStart"/>
            <w:r w:rsidRPr="00C07B5C">
              <w:rPr>
                <w:rFonts w:ascii="宋体" w:hAnsi="宋体" w:cs="宋体" w:hint="eastAsia"/>
                <w:color w:val="333333"/>
                <w:spacing w:val="10"/>
                <w:sz w:val="18"/>
                <w:szCs w:val="18"/>
              </w:rPr>
              <w:t>蔚来跌</w:t>
            </w:r>
            <w:proofErr w:type="gramEnd"/>
            <w:r w:rsidRPr="00C07B5C">
              <w:rPr>
                <w:rFonts w:ascii="宋体" w:hAnsi="宋体" w:cs="宋体" w:hint="eastAsia"/>
                <w:color w:val="333333"/>
                <w:spacing w:val="10"/>
                <w:sz w:val="18"/>
                <w:szCs w:val="18"/>
              </w:rPr>
              <w:t>0.63%。</w:t>
            </w:r>
          </w:p>
          <w:p w:rsidR="00CF6558" w:rsidRPr="00185749" w:rsidRDefault="00C07B5C" w:rsidP="00C07B5C">
            <w:pPr>
              <w:widowControl/>
              <w:shd w:val="clear" w:color="auto" w:fill="FEFFFF"/>
              <w:rPr>
                <w:rFonts w:ascii="宋体" w:hAnsi="宋体" w:cs="宋体"/>
                <w:color w:val="333333"/>
                <w:spacing w:val="10"/>
                <w:sz w:val="18"/>
                <w:szCs w:val="18"/>
              </w:rPr>
            </w:pPr>
            <w:r w:rsidRPr="00C07B5C">
              <w:rPr>
                <w:rFonts w:ascii="宋体" w:hAnsi="宋体" w:cs="宋体" w:hint="eastAsia"/>
                <w:color w:val="333333"/>
                <w:spacing w:val="10"/>
                <w:sz w:val="18"/>
                <w:szCs w:val="18"/>
              </w:rPr>
              <w:t>7、美国5月ADP就业人数增97.8万人，创去年6月以来新高，预期增65万人，前值增74.2万人。美国5月29日当周初请失业</w:t>
            </w:r>
            <w:proofErr w:type="gramStart"/>
            <w:r w:rsidRPr="00C07B5C">
              <w:rPr>
                <w:rFonts w:ascii="宋体" w:hAnsi="宋体" w:cs="宋体" w:hint="eastAsia"/>
                <w:color w:val="333333"/>
                <w:spacing w:val="10"/>
                <w:sz w:val="18"/>
                <w:szCs w:val="18"/>
              </w:rPr>
              <w:t>金人数</w:t>
            </w:r>
            <w:proofErr w:type="gramEnd"/>
            <w:r w:rsidRPr="00C07B5C">
              <w:rPr>
                <w:rFonts w:ascii="宋体" w:hAnsi="宋体" w:cs="宋体" w:hint="eastAsia"/>
                <w:color w:val="333333"/>
                <w:spacing w:val="10"/>
                <w:sz w:val="18"/>
                <w:szCs w:val="18"/>
              </w:rPr>
              <w:t>38.5万人，</w:t>
            </w:r>
            <w:proofErr w:type="gramStart"/>
            <w:r w:rsidRPr="00C07B5C">
              <w:rPr>
                <w:rFonts w:ascii="宋体" w:hAnsi="宋体" w:cs="宋体" w:hint="eastAsia"/>
                <w:color w:val="333333"/>
                <w:spacing w:val="10"/>
                <w:sz w:val="18"/>
                <w:szCs w:val="18"/>
              </w:rPr>
              <w:t>续创去年3月</w:t>
            </w:r>
            <w:proofErr w:type="gramEnd"/>
            <w:r w:rsidRPr="00C07B5C">
              <w:rPr>
                <w:rFonts w:ascii="宋体" w:hAnsi="宋体" w:cs="宋体" w:hint="eastAsia"/>
                <w:color w:val="333333"/>
                <w:spacing w:val="10"/>
                <w:sz w:val="18"/>
                <w:szCs w:val="18"/>
              </w:rPr>
              <w:t>以来新低，预期38.7万人，前值由40.6万人修正为40.5万人；5月22日当</w:t>
            </w:r>
            <w:proofErr w:type="gramStart"/>
            <w:r w:rsidRPr="00C07B5C">
              <w:rPr>
                <w:rFonts w:ascii="宋体" w:hAnsi="宋体" w:cs="宋体" w:hint="eastAsia"/>
                <w:color w:val="333333"/>
                <w:spacing w:val="10"/>
                <w:sz w:val="18"/>
                <w:szCs w:val="18"/>
              </w:rPr>
              <w:t>周续请失业金人数</w:t>
            </w:r>
            <w:proofErr w:type="gramEnd"/>
            <w:r w:rsidRPr="00C07B5C">
              <w:rPr>
                <w:rFonts w:ascii="宋体" w:hAnsi="宋体" w:cs="宋体" w:hint="eastAsia"/>
                <w:color w:val="333333"/>
                <w:spacing w:val="10"/>
                <w:sz w:val="18"/>
                <w:szCs w:val="18"/>
              </w:rPr>
              <w:t xml:space="preserve"> 377.1万人，预期361.5万人，前值由364.2万人修正为360.2万人。</w:t>
            </w:r>
          </w:p>
        </w:tc>
      </w:tr>
      <w:tr w:rsidR="00CF6558">
        <w:trPr>
          <w:trHeight w:val="90"/>
        </w:trPr>
        <w:tc>
          <w:tcPr>
            <w:tcW w:w="10100" w:type="dxa"/>
          </w:tcPr>
          <w:p w:rsidR="00CF6558" w:rsidRDefault="00653621">
            <w:pPr>
              <w:widowControl/>
              <w:shd w:val="clear" w:color="auto" w:fill="FEFFFF"/>
              <w:jc w:val="center"/>
              <w:rPr>
                <w:rFonts w:ascii="宋体" w:hAnsi="宋体"/>
                <w:szCs w:val="21"/>
              </w:rPr>
            </w:pPr>
            <w:r>
              <w:rPr>
                <w:rFonts w:ascii="宋体" w:hAnsi="宋体" w:hint="eastAsia"/>
                <w:szCs w:val="21"/>
              </w:rPr>
              <w:lastRenderedPageBreak/>
              <w:t>黑色产业链</w:t>
            </w:r>
          </w:p>
        </w:tc>
      </w:tr>
      <w:tr w:rsidR="00CF6558">
        <w:trPr>
          <w:trHeight w:val="691"/>
        </w:trPr>
        <w:tc>
          <w:tcPr>
            <w:tcW w:w="10100" w:type="dxa"/>
          </w:tcPr>
          <w:p w:rsidR="00674EA9" w:rsidRPr="004C5EF0" w:rsidRDefault="00786238" w:rsidP="00634157">
            <w:pPr>
              <w:spacing w:line="340" w:lineRule="exact"/>
              <w:jc w:val="left"/>
              <w:rPr>
                <w:rFonts w:ascii="宋体" w:hAnsi="宋体"/>
                <w:szCs w:val="21"/>
              </w:rPr>
            </w:pPr>
            <w:r>
              <w:t>1</w:t>
            </w:r>
            <w:r>
              <w:t>、工信部原材料工业司、装备工业二司日前组织相关行业协会召开专题会议，分析重点行业运行情况，研究上下游产业合作情况及下一步建立稳定供货关系、协同应对市场价格波动风险的工作思路。</w:t>
            </w:r>
            <w:r>
              <w:br/>
              <w:t>2</w:t>
            </w:r>
            <w:r>
              <w:t>、</w:t>
            </w:r>
            <w:proofErr w:type="gramStart"/>
            <w:r>
              <w:t>国家发改委</w:t>
            </w:r>
            <w:proofErr w:type="gramEnd"/>
            <w:r>
              <w:t>称，到</w:t>
            </w:r>
            <w:r>
              <w:t>2025</w:t>
            </w:r>
            <w:r>
              <w:t>年，建设</w:t>
            </w:r>
            <w:r>
              <w:t>50</w:t>
            </w:r>
            <w:r>
              <w:t>个</w:t>
            </w:r>
            <w:proofErr w:type="gramStart"/>
            <w:r>
              <w:t>大宗固废</w:t>
            </w:r>
            <w:proofErr w:type="gramEnd"/>
            <w:r>
              <w:t>综合利用示范基地，示范基地</w:t>
            </w:r>
            <w:proofErr w:type="gramStart"/>
            <w:r>
              <w:t>大宗固废</w:t>
            </w:r>
            <w:proofErr w:type="gramEnd"/>
            <w:r>
              <w:t>综合利用率达到</w:t>
            </w:r>
            <w:r>
              <w:t>75%</w:t>
            </w:r>
            <w:r>
              <w:t>以上，对</w:t>
            </w:r>
            <w:proofErr w:type="gramStart"/>
            <w:r>
              <w:t>区域降碳支撑</w:t>
            </w:r>
            <w:proofErr w:type="gramEnd"/>
            <w:r>
              <w:t>能力显著增强；培育</w:t>
            </w:r>
            <w:r>
              <w:t>50</w:t>
            </w:r>
            <w:r>
              <w:t>家综合利用骨干企业。</w:t>
            </w:r>
            <w:r>
              <w:br/>
              <w:t>3</w:t>
            </w:r>
            <w:r>
              <w:t>、海关总署对涉及出口钢坯、生铁的</w:t>
            </w:r>
            <w:r>
              <w:t>24</w:t>
            </w:r>
            <w:r>
              <w:t>个</w:t>
            </w:r>
            <w:r>
              <w:t>10</w:t>
            </w:r>
            <w:r>
              <w:t>位海关商品编号增设海关监管条件</w:t>
            </w:r>
            <w:r>
              <w:t>“B”</w:t>
            </w:r>
            <w:r>
              <w:t>，海关对相关商品实施出口商品检验。</w:t>
            </w:r>
            <w:r>
              <w:br/>
              <w:t>4</w:t>
            </w:r>
            <w:r>
              <w:t>、徐州定于</w:t>
            </w:r>
            <w:r>
              <w:t>6</w:t>
            </w:r>
            <w:r>
              <w:t>月</w:t>
            </w:r>
            <w:r>
              <w:t>4</w:t>
            </w:r>
            <w:r>
              <w:t>日上午</w:t>
            </w:r>
            <w:r>
              <w:t>11:00</w:t>
            </w:r>
            <w:r>
              <w:t>召开会议，调度钢铁冶炼企业今年和去年</w:t>
            </w:r>
            <w:r>
              <w:t>5</w:t>
            </w:r>
            <w:r>
              <w:t>月当月及累计粗钢产量情况，部署年度钢铁行业供给侧结构性改革任务。</w:t>
            </w:r>
            <w:r>
              <w:br/>
              <w:t>5</w:t>
            </w:r>
            <w:r>
              <w:t>、本周，</w:t>
            </w:r>
            <w:r>
              <w:t>18</w:t>
            </w:r>
            <w:r>
              <w:t>家独立电弧炉建筑钢材钢厂平均成本为</w:t>
            </w:r>
            <w:r>
              <w:t>4766</w:t>
            </w:r>
            <w:r>
              <w:t>元</w:t>
            </w:r>
            <w:r>
              <w:t>/</w:t>
            </w:r>
            <w:r>
              <w:t>吨，环比上周增</w:t>
            </w:r>
            <w:r>
              <w:t>216</w:t>
            </w:r>
            <w:r>
              <w:t>元</w:t>
            </w:r>
            <w:r>
              <w:t>/</w:t>
            </w:r>
            <w:r>
              <w:t>吨。从利润上来看，目前独立电弧炉钢厂平均利润为</w:t>
            </w:r>
            <w:r>
              <w:t>332</w:t>
            </w:r>
            <w:r>
              <w:t>元</w:t>
            </w:r>
            <w:r>
              <w:t>/</w:t>
            </w:r>
            <w:r>
              <w:t>吨，</w:t>
            </w:r>
            <w:proofErr w:type="gramStart"/>
            <w:r>
              <w:t>谷电利润</w:t>
            </w:r>
            <w:proofErr w:type="gramEnd"/>
            <w:r>
              <w:t>428</w:t>
            </w:r>
            <w:r>
              <w:t>元</w:t>
            </w:r>
            <w:r>
              <w:t>/</w:t>
            </w:r>
            <w:r>
              <w:t>吨，环比上周降</w:t>
            </w:r>
            <w:r>
              <w:t>98</w:t>
            </w:r>
            <w:r>
              <w:t>元</w:t>
            </w:r>
            <w:r>
              <w:t>/</w:t>
            </w:r>
            <w:r>
              <w:t>吨。</w:t>
            </w:r>
          </w:p>
        </w:tc>
      </w:tr>
      <w:tr w:rsidR="00CF6558">
        <w:trPr>
          <w:trHeight w:val="90"/>
        </w:trPr>
        <w:tc>
          <w:tcPr>
            <w:tcW w:w="10100" w:type="dxa"/>
          </w:tcPr>
          <w:p w:rsidR="00CF6558" w:rsidRDefault="00653621">
            <w:pPr>
              <w:spacing w:line="340" w:lineRule="exact"/>
              <w:ind w:left="-45"/>
              <w:jc w:val="center"/>
            </w:pPr>
            <w:proofErr w:type="gramStart"/>
            <w:r>
              <w:rPr>
                <w:rFonts w:hint="eastAsia"/>
              </w:rPr>
              <w:t>有色产业</w:t>
            </w:r>
            <w:proofErr w:type="gramEnd"/>
            <w:r>
              <w:rPr>
                <w:rFonts w:hint="eastAsia"/>
              </w:rPr>
              <w:t>链</w:t>
            </w:r>
          </w:p>
        </w:tc>
      </w:tr>
      <w:tr w:rsidR="00CF6558">
        <w:trPr>
          <w:trHeight w:val="90"/>
        </w:trPr>
        <w:tc>
          <w:tcPr>
            <w:tcW w:w="10100" w:type="dxa"/>
          </w:tcPr>
          <w:p w:rsidR="00CF36E8" w:rsidRPr="00CF36E8" w:rsidRDefault="00CF36E8" w:rsidP="00CF36E8">
            <w:pPr>
              <w:spacing w:line="340" w:lineRule="exact"/>
              <w:jc w:val="left"/>
              <w:rPr>
                <w:rFonts w:ascii="宋体" w:hAnsi="宋体" w:cs="宋体" w:hint="eastAsia"/>
                <w:color w:val="333333"/>
                <w:spacing w:val="10"/>
                <w:sz w:val="18"/>
                <w:szCs w:val="18"/>
              </w:rPr>
            </w:pPr>
            <w:r w:rsidRPr="00CF36E8">
              <w:rPr>
                <w:rFonts w:ascii="宋体" w:hAnsi="宋体" w:cs="宋体" w:hint="eastAsia"/>
                <w:color w:val="333333"/>
                <w:spacing w:val="10"/>
                <w:sz w:val="18"/>
                <w:szCs w:val="18"/>
              </w:rPr>
              <w:t xml:space="preserve">1、智利矿业和能源部长胡安·卡洛斯·乔贝特 (Juan Carlos </w:t>
            </w:r>
            <w:proofErr w:type="spellStart"/>
            <w:r w:rsidRPr="00CF36E8">
              <w:rPr>
                <w:rFonts w:ascii="宋体" w:hAnsi="宋体" w:cs="宋体" w:hint="eastAsia"/>
                <w:color w:val="333333"/>
                <w:spacing w:val="10"/>
                <w:sz w:val="18"/>
                <w:szCs w:val="18"/>
              </w:rPr>
              <w:t>Jobet</w:t>
            </w:r>
            <w:proofErr w:type="spellEnd"/>
            <w:r w:rsidRPr="00CF36E8">
              <w:rPr>
                <w:rFonts w:ascii="宋体" w:hAnsi="宋体" w:cs="宋体" w:hint="eastAsia"/>
                <w:color w:val="333333"/>
                <w:spacing w:val="10"/>
                <w:sz w:val="18"/>
                <w:szCs w:val="18"/>
              </w:rPr>
              <w:t>) 周三表示，下议院</w:t>
            </w:r>
            <w:proofErr w:type="gramStart"/>
            <w:r w:rsidRPr="00CF36E8">
              <w:rPr>
                <w:rFonts w:ascii="宋体" w:hAnsi="宋体" w:cs="宋体" w:hint="eastAsia"/>
                <w:color w:val="333333"/>
                <w:spacing w:val="10"/>
                <w:sz w:val="18"/>
                <w:szCs w:val="18"/>
              </w:rPr>
              <w:t>月批准</w:t>
            </w:r>
            <w:proofErr w:type="gramEnd"/>
            <w:r w:rsidRPr="00CF36E8">
              <w:rPr>
                <w:rFonts w:ascii="宋体" w:hAnsi="宋体" w:cs="宋体" w:hint="eastAsia"/>
                <w:color w:val="333333"/>
                <w:spacing w:val="10"/>
                <w:sz w:val="18"/>
                <w:szCs w:val="18"/>
              </w:rPr>
              <w:t>了该法案（铜税法案）的一个版本，根据政府估计，该法案将使矿业公司的总税收负担从现在的 40% 左右提高到 70-80%。 但智利矿业部长在近期的评论中表示，智利政府</w:t>
            </w:r>
            <w:proofErr w:type="gramStart"/>
            <w:r w:rsidRPr="00CF36E8">
              <w:rPr>
                <w:rFonts w:ascii="宋体" w:hAnsi="宋体" w:cs="宋体" w:hint="eastAsia"/>
                <w:color w:val="333333"/>
                <w:spacing w:val="10"/>
                <w:sz w:val="18"/>
                <w:szCs w:val="18"/>
              </w:rPr>
              <w:t>“非常有信心”就铜税法</w:t>
            </w:r>
            <w:proofErr w:type="gramEnd"/>
            <w:r w:rsidRPr="00CF36E8">
              <w:rPr>
                <w:rFonts w:ascii="宋体" w:hAnsi="宋体" w:cs="宋体" w:hint="eastAsia"/>
                <w:color w:val="333333"/>
                <w:spacing w:val="10"/>
                <w:sz w:val="18"/>
                <w:szCs w:val="18"/>
              </w:rPr>
              <w:t>案进一步协商，将此前拟提高的增幅有所降低，以保持与其他主要生产商的竞争力，这可能有助于缓解对未来供应的担忧。</w:t>
            </w:r>
          </w:p>
          <w:p w:rsidR="00CF36E8" w:rsidRPr="00CF36E8" w:rsidRDefault="00CF36E8" w:rsidP="00CF36E8">
            <w:pPr>
              <w:spacing w:line="340" w:lineRule="exact"/>
              <w:jc w:val="left"/>
              <w:rPr>
                <w:rFonts w:ascii="宋体" w:hAnsi="宋体" w:cs="宋体" w:hint="eastAsia"/>
                <w:color w:val="333333"/>
                <w:spacing w:val="10"/>
                <w:sz w:val="18"/>
                <w:szCs w:val="18"/>
              </w:rPr>
            </w:pPr>
            <w:r w:rsidRPr="00CF36E8">
              <w:rPr>
                <w:rFonts w:ascii="宋体" w:hAnsi="宋体" w:cs="宋体" w:hint="eastAsia"/>
                <w:color w:val="333333"/>
                <w:spacing w:val="10"/>
                <w:sz w:val="18"/>
                <w:szCs w:val="18"/>
              </w:rPr>
              <w:t>2、宝马中国今日在首届宝马集团可持续发展中国峰会上透露，将于今年年底前在华投建36万根充电桩；2022年底投建100座光伏、充电、储能“三位一体”的充电站。</w:t>
            </w:r>
          </w:p>
          <w:p w:rsidR="00CF36E8" w:rsidRPr="00CF36E8" w:rsidRDefault="00CF36E8" w:rsidP="00CF36E8">
            <w:pPr>
              <w:spacing w:line="340" w:lineRule="exact"/>
              <w:jc w:val="left"/>
              <w:rPr>
                <w:rFonts w:ascii="宋体" w:hAnsi="宋体" w:cs="宋体" w:hint="eastAsia"/>
                <w:color w:val="333333"/>
                <w:spacing w:val="10"/>
                <w:sz w:val="18"/>
                <w:szCs w:val="18"/>
              </w:rPr>
            </w:pPr>
            <w:r w:rsidRPr="00CF36E8">
              <w:rPr>
                <w:rFonts w:ascii="宋体" w:hAnsi="宋体" w:cs="宋体" w:hint="eastAsia"/>
                <w:color w:val="333333"/>
                <w:spacing w:val="10"/>
                <w:sz w:val="18"/>
                <w:szCs w:val="18"/>
              </w:rPr>
              <w:t>3、日前，工信部产业发展促进中心在宁德组织召开会议，对宁德时代牵头承担的国家重点研发计划“智能电网技术与装备”重点专项“100MWh级新型锂电池规模储能技术开发及应用”项目进行了综合绩效评价。该项目攻克了12000次超长循环寿命、高安全性储能专用电池核心技术，掌握了大规模储能电站的统一调控、电池能量管理等系统集成技术，相关成果已成功应用于福建晋江30MW/108MWh储能电站，成为全球</w:t>
            </w:r>
            <w:proofErr w:type="gramStart"/>
            <w:r w:rsidRPr="00CF36E8">
              <w:rPr>
                <w:rFonts w:ascii="宋体" w:hAnsi="宋体" w:cs="宋体" w:hint="eastAsia"/>
                <w:color w:val="333333"/>
                <w:spacing w:val="10"/>
                <w:sz w:val="18"/>
                <w:szCs w:val="18"/>
              </w:rPr>
              <w:t>百兆瓦时级</w:t>
            </w:r>
            <w:proofErr w:type="gramEnd"/>
            <w:r w:rsidRPr="00CF36E8">
              <w:rPr>
                <w:rFonts w:ascii="宋体" w:hAnsi="宋体" w:cs="宋体" w:hint="eastAsia"/>
                <w:color w:val="333333"/>
                <w:spacing w:val="10"/>
                <w:sz w:val="18"/>
                <w:szCs w:val="18"/>
              </w:rPr>
              <w:t>储能电站的新标</w:t>
            </w:r>
            <w:r w:rsidRPr="00CF36E8">
              <w:rPr>
                <w:rFonts w:ascii="宋体" w:hAnsi="宋体" w:cs="宋体" w:hint="eastAsia"/>
                <w:color w:val="333333"/>
                <w:spacing w:val="10"/>
                <w:sz w:val="18"/>
                <w:szCs w:val="18"/>
              </w:rPr>
              <w:lastRenderedPageBreak/>
              <w:t>杆。</w:t>
            </w:r>
          </w:p>
          <w:p w:rsidR="0026279D" w:rsidRDefault="00CF36E8" w:rsidP="00CF36E8">
            <w:pPr>
              <w:spacing w:line="340" w:lineRule="exact"/>
              <w:jc w:val="left"/>
              <w:rPr>
                <w:rFonts w:ascii="宋体" w:hAnsi="宋体" w:cs="宋体"/>
                <w:color w:val="333333"/>
                <w:spacing w:val="10"/>
                <w:sz w:val="18"/>
                <w:szCs w:val="18"/>
              </w:rPr>
            </w:pPr>
            <w:r w:rsidRPr="00CF36E8">
              <w:rPr>
                <w:rFonts w:ascii="宋体" w:hAnsi="宋体" w:cs="宋体" w:hint="eastAsia"/>
                <w:color w:val="333333"/>
                <w:spacing w:val="10"/>
                <w:sz w:val="18"/>
                <w:szCs w:val="18"/>
              </w:rPr>
              <w:t>4、商务部新闻发言人高峰6月3日在例行新闻发布会上表示，去年下半年以来，企业普遍反映面临原材料价格上涨，汇率波动较大、海运物流不畅等困难和挑战。我们将持续做好大宗商品保供稳价工作，积极推进进口多元化，加强国际合作，构建互利共赢的大宗商品稳定贸易渠道。同时，加强部门协作，在保障运力、加强运价监管等方面，继续加大工作力度。我们还将进一步推进“放管服”改革，优化营商环境，降低企业成本，采取切实的、有针对性的措施，支持各类外贸企业特别是中小微外贸企业稳定经营、健康发展。</w:t>
            </w:r>
          </w:p>
        </w:tc>
      </w:tr>
      <w:tr w:rsidR="00CF6558">
        <w:trPr>
          <w:trHeight w:val="480"/>
        </w:trPr>
        <w:tc>
          <w:tcPr>
            <w:tcW w:w="10100" w:type="dxa"/>
          </w:tcPr>
          <w:p w:rsidR="00CF6558" w:rsidRDefault="00653621">
            <w:pPr>
              <w:spacing w:line="340" w:lineRule="exact"/>
              <w:ind w:left="-45"/>
              <w:jc w:val="center"/>
            </w:pPr>
            <w:r>
              <w:rPr>
                <w:rFonts w:hint="eastAsia"/>
              </w:rPr>
              <w:lastRenderedPageBreak/>
              <w:t>能源化工产业链</w:t>
            </w:r>
          </w:p>
        </w:tc>
      </w:tr>
      <w:tr w:rsidR="00CF6558">
        <w:trPr>
          <w:trHeight w:val="452"/>
        </w:trPr>
        <w:tc>
          <w:tcPr>
            <w:tcW w:w="10100" w:type="dxa"/>
          </w:tcPr>
          <w:p w:rsidR="00185749" w:rsidRDefault="00CF36E8" w:rsidP="00185749">
            <w:r>
              <w:t>1</w:t>
            </w:r>
            <w:r>
              <w:t>、山东华鲁恒升化工股份有限公司乙二醇现货报价稳定，执行</w:t>
            </w:r>
            <w:r>
              <w:t>4850</w:t>
            </w:r>
            <w:r>
              <w:t>元</w:t>
            </w:r>
            <w:r>
              <w:t>/</w:t>
            </w:r>
            <w:r>
              <w:t>吨。</w:t>
            </w:r>
            <w:r>
              <w:t>5</w:t>
            </w:r>
            <w:r>
              <w:t>万吨</w:t>
            </w:r>
            <w:r>
              <w:t>/</w:t>
            </w:r>
            <w:r>
              <w:t>年装置</w:t>
            </w:r>
            <w:r>
              <w:t>2020</w:t>
            </w:r>
            <w:r>
              <w:t>年</w:t>
            </w:r>
            <w:r>
              <w:t>8</w:t>
            </w:r>
            <w:r>
              <w:t>月</w:t>
            </w:r>
            <w:r>
              <w:t>7</w:t>
            </w:r>
            <w:r>
              <w:t>日停车检修，</w:t>
            </w:r>
            <w:r>
              <w:t>2020</w:t>
            </w:r>
            <w:r>
              <w:t>年</w:t>
            </w:r>
            <w:r>
              <w:t>8</w:t>
            </w:r>
            <w:r>
              <w:t>月</w:t>
            </w:r>
            <w:r>
              <w:t>25</w:t>
            </w:r>
            <w:r>
              <w:t>日重启。目前装置正常运行，</w:t>
            </w:r>
            <w:r>
              <w:t>55</w:t>
            </w:r>
            <w:r>
              <w:t>万吨</w:t>
            </w:r>
            <w:r>
              <w:t>/</w:t>
            </w:r>
            <w:r>
              <w:t>年装置整体负荷</w:t>
            </w:r>
            <w:r>
              <w:t>6</w:t>
            </w:r>
            <w:r>
              <w:t>成附近。</w:t>
            </w:r>
            <w:r>
              <w:br/>
              <w:t>2</w:t>
            </w:r>
            <w:r>
              <w:t>、截止到</w:t>
            </w:r>
            <w:r>
              <w:t>6</w:t>
            </w:r>
            <w:r>
              <w:t>月</w:t>
            </w:r>
            <w:r>
              <w:t>3</w:t>
            </w:r>
            <w:r>
              <w:t>日，华东乙二醇主要库区库存统计在</w:t>
            </w:r>
            <w:r>
              <w:t>45.96</w:t>
            </w:r>
            <w:r>
              <w:t>万吨，较</w:t>
            </w:r>
            <w:r>
              <w:t>5</w:t>
            </w:r>
            <w:r>
              <w:t>月</w:t>
            </w:r>
            <w:r>
              <w:t>27</w:t>
            </w:r>
            <w:r>
              <w:t>日减少</w:t>
            </w:r>
            <w:r>
              <w:t>0.06</w:t>
            </w:r>
            <w:r>
              <w:t>万吨。其中张家港</w:t>
            </w:r>
            <w:r>
              <w:t>20.83</w:t>
            </w:r>
            <w:r>
              <w:t>万吨，增加</w:t>
            </w:r>
            <w:r>
              <w:t>1.18</w:t>
            </w:r>
            <w:r>
              <w:t>万吨；江阴</w:t>
            </w:r>
            <w:r>
              <w:t>9.00</w:t>
            </w:r>
            <w:r>
              <w:t>万吨，增加</w:t>
            </w:r>
            <w:r>
              <w:t>1.00</w:t>
            </w:r>
            <w:r>
              <w:t>万吨；太仓</w:t>
            </w:r>
            <w:r>
              <w:t>9.40</w:t>
            </w:r>
            <w:r>
              <w:t>万吨，增加</w:t>
            </w:r>
            <w:r>
              <w:t>1.10</w:t>
            </w:r>
            <w:r>
              <w:t>万吨；宁波</w:t>
            </w:r>
            <w:r>
              <w:t>4.30</w:t>
            </w:r>
            <w:r>
              <w:t>万吨，减少</w:t>
            </w:r>
            <w:r>
              <w:t>2.20</w:t>
            </w:r>
            <w:r>
              <w:t>万吨；上海及常熟</w:t>
            </w:r>
            <w:r>
              <w:t>2.43</w:t>
            </w:r>
            <w:r>
              <w:t>万吨，减少</w:t>
            </w:r>
            <w:r>
              <w:t>1.14</w:t>
            </w:r>
            <w:r>
              <w:t>万吨。</w:t>
            </w:r>
            <w:r>
              <w:br/>
              <w:t>3</w:t>
            </w:r>
            <w:r>
              <w:t>、整体来看，沿海地区（江苏、浙江和华南地区）甲醇库存在</w:t>
            </w:r>
            <w:r>
              <w:t>79.06</w:t>
            </w:r>
            <w:r>
              <w:t>万吨，环比上周四（</w:t>
            </w:r>
            <w:r>
              <w:t>5</w:t>
            </w:r>
            <w:r>
              <w:t>月</w:t>
            </w:r>
            <w:r>
              <w:t>27</w:t>
            </w:r>
            <w:r>
              <w:t>日整体沿海库存在</w:t>
            </w:r>
            <w:r>
              <w:t>74.51</w:t>
            </w:r>
            <w:r>
              <w:t>万吨）上涨</w:t>
            </w:r>
            <w:r>
              <w:t>4.55</w:t>
            </w:r>
            <w:r>
              <w:t>万吨，涨幅在</w:t>
            </w:r>
            <w:r>
              <w:t>6.11%</w:t>
            </w:r>
            <w:r>
              <w:t>，同比下降</w:t>
            </w:r>
            <w:r>
              <w:t>37.05%</w:t>
            </w:r>
            <w:r>
              <w:t>。</w:t>
            </w:r>
            <w:r>
              <w:br/>
              <w:t>4</w:t>
            </w:r>
            <w:r>
              <w:t>、本周期（</w:t>
            </w:r>
            <w:r>
              <w:t>20210528-0603</w:t>
            </w:r>
            <w:r>
              <w:t>）聚酯</w:t>
            </w:r>
            <w:proofErr w:type="gramStart"/>
            <w:r>
              <w:t>行业周</w:t>
            </w:r>
            <w:proofErr w:type="gramEnd"/>
            <w:r>
              <w:t>产量为</w:t>
            </w:r>
            <w:r>
              <w:t>112.42</w:t>
            </w:r>
            <w:r>
              <w:t>万吨，较上周上涨</w:t>
            </w:r>
            <w:r>
              <w:t>0.59%</w:t>
            </w:r>
            <w:r>
              <w:t>。聚酯</w:t>
            </w:r>
            <w:proofErr w:type="gramStart"/>
            <w:r>
              <w:t>行业周度</w:t>
            </w:r>
            <w:proofErr w:type="gramEnd"/>
            <w:r>
              <w:t>平均开工为</w:t>
            </w:r>
            <w:r>
              <w:t>89.83%</w:t>
            </w:r>
            <w:r>
              <w:t>，较上周上涨</w:t>
            </w:r>
            <w:r>
              <w:t>0.53%</w:t>
            </w:r>
            <w:r>
              <w:t>。</w:t>
            </w:r>
            <w:r>
              <w:br/>
              <w:t>5</w:t>
            </w:r>
            <w:r>
              <w:t>、</w:t>
            </w:r>
            <w:proofErr w:type="gramStart"/>
            <w:r>
              <w:t>隆众资讯</w:t>
            </w:r>
            <w:proofErr w:type="gramEnd"/>
            <w:r>
              <w:t>6</w:t>
            </w:r>
            <w:r>
              <w:t>月</w:t>
            </w:r>
            <w:r>
              <w:t>3</w:t>
            </w:r>
            <w:r>
              <w:t>日报道：目前涤纶长丝市场乏善可陈，下游用户心态谨慎，刚需购入，涤纶长丝产销平平。截止至</w:t>
            </w:r>
            <w:r>
              <w:t>15</w:t>
            </w:r>
            <w:r>
              <w:t>：</w:t>
            </w:r>
            <w:r>
              <w:t>35</w:t>
            </w:r>
            <w:r>
              <w:t>，工厂主流产销</w:t>
            </w:r>
            <w:r>
              <w:t>40.9%</w:t>
            </w:r>
            <w:r>
              <w:t>，较前一交易日下降</w:t>
            </w:r>
            <w:r>
              <w:t>8.3%</w:t>
            </w:r>
            <w:r>
              <w:t>，具体产销数据如下：</w:t>
            </w:r>
            <w:r>
              <w:t>100%</w:t>
            </w:r>
            <w:r>
              <w:t>、</w:t>
            </w:r>
            <w:r>
              <w:t>10%</w:t>
            </w:r>
            <w:r>
              <w:t>、</w:t>
            </w:r>
            <w:r>
              <w:t>30%</w:t>
            </w:r>
            <w:r>
              <w:t>、</w:t>
            </w:r>
            <w:r>
              <w:t>30%</w:t>
            </w:r>
            <w:r>
              <w:t>、</w:t>
            </w:r>
            <w:r>
              <w:t>35%</w:t>
            </w:r>
            <w:r>
              <w:t>、</w:t>
            </w:r>
            <w:r>
              <w:t>30%</w:t>
            </w:r>
            <w:r>
              <w:t>、</w:t>
            </w:r>
            <w:r>
              <w:t>0%</w:t>
            </w:r>
            <w:r>
              <w:t>、</w:t>
            </w:r>
            <w:r>
              <w:t>0%</w:t>
            </w:r>
            <w:r>
              <w:t>、</w:t>
            </w:r>
            <w:r>
              <w:t>15%</w:t>
            </w:r>
            <w:r>
              <w:t>、</w:t>
            </w:r>
            <w:r>
              <w:t>60%</w:t>
            </w:r>
            <w:r>
              <w:t>、</w:t>
            </w:r>
            <w:r>
              <w:t>20%</w:t>
            </w:r>
            <w:r>
              <w:t>、</w:t>
            </w:r>
            <w:r>
              <w:t>35%</w:t>
            </w:r>
            <w:r>
              <w:t>、</w:t>
            </w:r>
            <w:r>
              <w:t>50%</w:t>
            </w:r>
            <w:r>
              <w:t>、</w:t>
            </w:r>
            <w:r>
              <w:t>35%</w:t>
            </w:r>
            <w:r>
              <w:t>、</w:t>
            </w:r>
            <w:r>
              <w:t>100%</w:t>
            </w:r>
            <w:r>
              <w:t>、</w:t>
            </w:r>
            <w:r>
              <w:t>10%</w:t>
            </w:r>
            <w:r>
              <w:t>、</w:t>
            </w:r>
            <w:r>
              <w:t>10%</w:t>
            </w:r>
            <w:r>
              <w:t>、</w:t>
            </w:r>
            <w:r>
              <w:t>30%</w:t>
            </w:r>
            <w:r>
              <w:t>、</w:t>
            </w:r>
            <w:r>
              <w:t>35%</w:t>
            </w:r>
            <w:r>
              <w:t>、</w:t>
            </w:r>
            <w:r>
              <w:t>30%</w:t>
            </w:r>
            <w:r>
              <w:t>、</w:t>
            </w:r>
            <w:r>
              <w:t>20%</w:t>
            </w:r>
            <w:r>
              <w:t>、</w:t>
            </w:r>
            <w:r>
              <w:t>10%</w:t>
            </w:r>
            <w:r>
              <w:t>、</w:t>
            </w:r>
            <w:r>
              <w:t>15%</w:t>
            </w:r>
            <w:r>
              <w:t>、</w:t>
            </w:r>
            <w:r>
              <w:t>80%</w:t>
            </w:r>
            <w:r>
              <w:t>、</w:t>
            </w:r>
            <w:r>
              <w:t>30%</w:t>
            </w:r>
            <w:r>
              <w:t>、</w:t>
            </w:r>
            <w:r>
              <w:t>30%</w:t>
            </w:r>
            <w:r>
              <w:t>、</w:t>
            </w:r>
            <w:r>
              <w:t>50%</w:t>
            </w:r>
            <w:r>
              <w:t>、</w:t>
            </w:r>
            <w:r>
              <w:t>0%</w:t>
            </w:r>
            <w:r>
              <w:t>、</w:t>
            </w:r>
            <w:r>
              <w:t>20%</w:t>
            </w:r>
            <w:r>
              <w:t>、</w:t>
            </w:r>
            <w:r>
              <w:t>100%</w:t>
            </w:r>
            <w:r>
              <w:t>、</w:t>
            </w:r>
            <w:r>
              <w:t>120%</w:t>
            </w:r>
            <w:r>
              <w:t>、</w:t>
            </w:r>
            <w:r>
              <w:t>0%</w:t>
            </w:r>
            <w:r>
              <w:t>、</w:t>
            </w:r>
            <w:r>
              <w:t>30%</w:t>
            </w:r>
            <w:r>
              <w:t>、</w:t>
            </w:r>
            <w:r>
              <w:t>50%</w:t>
            </w:r>
            <w:r>
              <w:t>。</w:t>
            </w:r>
            <w:r>
              <w:br/>
              <w:t>6</w:t>
            </w:r>
            <w:r>
              <w:t>、</w:t>
            </w:r>
            <w:proofErr w:type="gramStart"/>
            <w:r>
              <w:t>隆众资讯</w:t>
            </w:r>
            <w:proofErr w:type="gramEnd"/>
            <w:r>
              <w:t>6</w:t>
            </w:r>
            <w:r>
              <w:t>月</w:t>
            </w:r>
            <w:r>
              <w:t>3</w:t>
            </w:r>
            <w:r>
              <w:t>日报道：今日涤纶短</w:t>
            </w:r>
            <w:proofErr w:type="gramStart"/>
            <w:r>
              <w:t>纤</w:t>
            </w:r>
            <w:proofErr w:type="gramEnd"/>
            <w:r>
              <w:t>工厂产销总体尚可。截至</w:t>
            </w:r>
            <w:r>
              <w:t>15</w:t>
            </w:r>
            <w:r>
              <w:t>：</w:t>
            </w:r>
            <w:r>
              <w:t>20</w:t>
            </w:r>
            <w:r>
              <w:t>工厂总体产销</w:t>
            </w:r>
            <w:r>
              <w:t>35.63%</w:t>
            </w:r>
            <w:r>
              <w:t>，较上一交易日下滑</w:t>
            </w:r>
            <w:r>
              <w:t>37.54%</w:t>
            </w:r>
            <w:r>
              <w:t>。工厂部分产销如下：</w:t>
            </w:r>
            <w:r>
              <w:t>70%</w:t>
            </w:r>
            <w:r>
              <w:t>、</w:t>
            </w:r>
            <w:r>
              <w:t>20%</w:t>
            </w:r>
            <w:r>
              <w:t>、</w:t>
            </w:r>
            <w:r>
              <w:t>20%</w:t>
            </w:r>
            <w:r>
              <w:t>、</w:t>
            </w:r>
            <w:r>
              <w:t>10%</w:t>
            </w:r>
            <w:r>
              <w:t>、</w:t>
            </w:r>
            <w:r>
              <w:t>30%</w:t>
            </w:r>
            <w:r>
              <w:t>、</w:t>
            </w:r>
            <w:r>
              <w:t>20%</w:t>
            </w:r>
            <w:r>
              <w:t>、</w:t>
            </w:r>
            <w:r>
              <w:t>30%</w:t>
            </w:r>
            <w:r>
              <w:t>、</w:t>
            </w:r>
            <w:r>
              <w:t>5%</w:t>
            </w:r>
            <w:r>
              <w:t>、</w:t>
            </w:r>
            <w:r>
              <w:t>15%</w:t>
            </w:r>
            <w:r>
              <w:t>、</w:t>
            </w:r>
            <w:r>
              <w:t>50%</w:t>
            </w:r>
            <w:r>
              <w:t>。</w:t>
            </w:r>
            <w:r>
              <w:br/>
              <w:t>7</w:t>
            </w:r>
            <w:r>
              <w:t>、</w:t>
            </w:r>
            <w:r>
              <w:t>5</w:t>
            </w:r>
            <w:r>
              <w:t>月份下游型材企业整体开工小幅回落，</w:t>
            </w:r>
            <w:proofErr w:type="gramStart"/>
            <w:r>
              <w:t>卓创统计</w:t>
            </w:r>
            <w:proofErr w:type="gramEnd"/>
            <w:r>
              <w:t>开工数据显示，</w:t>
            </w:r>
            <w:r>
              <w:t>5</w:t>
            </w:r>
            <w:r>
              <w:t>月份</w:t>
            </w:r>
            <w:r>
              <w:t>20</w:t>
            </w:r>
            <w:r>
              <w:t>家样品型材企业整体开工率下降</w:t>
            </w:r>
            <w:r>
              <w:t>2</w:t>
            </w:r>
            <w:r>
              <w:t>个百分点至</w:t>
            </w:r>
            <w:r>
              <w:t>44%</w:t>
            </w:r>
            <w:r>
              <w:t>。</w:t>
            </w:r>
          </w:p>
          <w:p w:rsidR="00CF36E8" w:rsidRPr="00CF36E8" w:rsidRDefault="00CF36E8" w:rsidP="00CF36E8">
            <w:pPr>
              <w:rPr>
                <w:rFonts w:ascii="宋体" w:hAnsi="宋体" w:cs="宋体" w:hint="eastAsia"/>
                <w:color w:val="333333"/>
                <w:spacing w:val="10"/>
                <w:sz w:val="18"/>
                <w:szCs w:val="18"/>
              </w:rPr>
            </w:pPr>
            <w:r>
              <w:rPr>
                <w:rFonts w:ascii="宋体" w:hAnsi="宋体" w:cs="宋体"/>
                <w:color w:val="333333"/>
                <w:spacing w:val="10"/>
                <w:sz w:val="18"/>
                <w:szCs w:val="18"/>
              </w:rPr>
              <w:t>8</w:t>
            </w:r>
            <w:r w:rsidRPr="00CF36E8">
              <w:rPr>
                <w:rFonts w:ascii="宋体" w:hAnsi="宋体" w:cs="宋体" w:hint="eastAsia"/>
                <w:color w:val="333333"/>
                <w:spacing w:val="10"/>
                <w:sz w:val="18"/>
                <w:szCs w:val="18"/>
              </w:rPr>
              <w:t>、俄罗斯副总理诺瓦克：如果国际能源署（IEA）建议停止资助新能源项目，油价可能达到200美元/桶 。</w:t>
            </w:r>
          </w:p>
          <w:p w:rsidR="00CF36E8" w:rsidRPr="00CF36E8" w:rsidRDefault="00CF36E8" w:rsidP="00CF36E8">
            <w:pPr>
              <w:rPr>
                <w:rFonts w:ascii="宋体" w:hAnsi="宋体" w:cs="宋体" w:hint="eastAsia"/>
                <w:color w:val="333333"/>
                <w:spacing w:val="10"/>
                <w:sz w:val="18"/>
                <w:szCs w:val="18"/>
              </w:rPr>
            </w:pPr>
            <w:r>
              <w:rPr>
                <w:rFonts w:ascii="宋体" w:hAnsi="宋体" w:cs="宋体"/>
                <w:color w:val="333333"/>
                <w:spacing w:val="10"/>
                <w:sz w:val="18"/>
                <w:szCs w:val="18"/>
              </w:rPr>
              <w:t>9</w:t>
            </w:r>
            <w:r w:rsidRPr="00CF36E8">
              <w:rPr>
                <w:rFonts w:ascii="宋体" w:hAnsi="宋体" w:cs="宋体" w:hint="eastAsia"/>
                <w:color w:val="333333"/>
                <w:spacing w:val="10"/>
                <w:sz w:val="18"/>
                <w:szCs w:val="18"/>
              </w:rPr>
              <w:t>、OPEC+还预计，发达国家持有的商业石油库存将从7月起降至2015-2019年的平均水平以下，并在今年余下时间内保持在</w:t>
            </w:r>
            <w:proofErr w:type="gramStart"/>
            <w:r w:rsidRPr="00CF36E8">
              <w:rPr>
                <w:rFonts w:ascii="宋体" w:hAnsi="宋体" w:cs="宋体" w:hint="eastAsia"/>
                <w:color w:val="333333"/>
                <w:spacing w:val="10"/>
                <w:sz w:val="18"/>
                <w:szCs w:val="18"/>
              </w:rPr>
              <w:t>该平均</w:t>
            </w:r>
            <w:proofErr w:type="gramEnd"/>
            <w:r w:rsidRPr="00CF36E8">
              <w:rPr>
                <w:rFonts w:ascii="宋体" w:hAnsi="宋体" w:cs="宋体" w:hint="eastAsia"/>
                <w:color w:val="333333"/>
                <w:spacing w:val="10"/>
                <w:sz w:val="18"/>
                <w:szCs w:val="18"/>
              </w:rPr>
              <w:t>水平以下。虽然库存下降的时间表与之前的预测一致，但下降程度更深。</w:t>
            </w:r>
          </w:p>
          <w:p w:rsidR="00CF36E8" w:rsidRPr="00CF36E8" w:rsidRDefault="00CF36E8" w:rsidP="00CF36E8">
            <w:pPr>
              <w:rPr>
                <w:rFonts w:ascii="宋体" w:hAnsi="宋体" w:cs="宋体" w:hint="eastAsia"/>
                <w:color w:val="333333"/>
                <w:spacing w:val="10"/>
                <w:sz w:val="18"/>
                <w:szCs w:val="18"/>
              </w:rPr>
            </w:pPr>
            <w:r>
              <w:rPr>
                <w:rFonts w:ascii="宋体" w:hAnsi="宋体" w:cs="宋体"/>
                <w:color w:val="333333"/>
                <w:spacing w:val="10"/>
                <w:sz w:val="18"/>
                <w:szCs w:val="18"/>
              </w:rPr>
              <w:t>10</w:t>
            </w:r>
            <w:r w:rsidRPr="00CF36E8">
              <w:rPr>
                <w:rFonts w:ascii="宋体" w:hAnsi="宋体" w:cs="宋体" w:hint="eastAsia"/>
                <w:color w:val="333333"/>
                <w:spacing w:val="10"/>
                <w:sz w:val="18"/>
                <w:szCs w:val="18"/>
              </w:rPr>
              <w:t>、美国石油协会(API)公布的数据称，上周美国原油库存下跌536万桶，降幅远超预期的211.4万桶，尽管汽油和精炼油库存意外增加。</w:t>
            </w:r>
          </w:p>
          <w:p w:rsidR="00CF36E8" w:rsidRPr="00CF36E8" w:rsidRDefault="00CF36E8" w:rsidP="00CF36E8">
            <w:pPr>
              <w:rPr>
                <w:rFonts w:ascii="宋体" w:hAnsi="宋体" w:cs="宋体" w:hint="eastAsia"/>
                <w:color w:val="333333"/>
                <w:spacing w:val="10"/>
                <w:sz w:val="18"/>
                <w:szCs w:val="18"/>
              </w:rPr>
            </w:pPr>
            <w:r>
              <w:rPr>
                <w:rFonts w:ascii="宋体" w:hAnsi="宋体" w:cs="宋体"/>
                <w:color w:val="333333"/>
                <w:spacing w:val="10"/>
                <w:sz w:val="18"/>
                <w:szCs w:val="18"/>
              </w:rPr>
              <w:t>11</w:t>
            </w:r>
            <w:r w:rsidRPr="00CF36E8">
              <w:rPr>
                <w:rFonts w:ascii="宋体" w:hAnsi="宋体" w:cs="宋体" w:hint="eastAsia"/>
                <w:color w:val="333333"/>
                <w:spacing w:val="10"/>
                <w:sz w:val="18"/>
                <w:szCs w:val="18"/>
              </w:rPr>
              <w:t>、阿联酋阿布扎比国家石油公司ADNOC将7月穆尔班原油官方售价设定为66.7美元/桶。</w:t>
            </w:r>
          </w:p>
          <w:p w:rsidR="00CF36E8" w:rsidRPr="00CF36E8" w:rsidRDefault="00CF36E8" w:rsidP="00CF36E8">
            <w:pPr>
              <w:rPr>
                <w:rFonts w:ascii="宋体" w:hAnsi="宋体" w:cs="宋体" w:hint="eastAsia"/>
                <w:color w:val="333333"/>
                <w:spacing w:val="10"/>
                <w:sz w:val="18"/>
                <w:szCs w:val="18"/>
              </w:rPr>
            </w:pPr>
            <w:r>
              <w:rPr>
                <w:rFonts w:ascii="宋体" w:hAnsi="宋体" w:cs="宋体"/>
                <w:color w:val="333333"/>
                <w:spacing w:val="10"/>
                <w:sz w:val="18"/>
                <w:szCs w:val="18"/>
              </w:rPr>
              <w:t>12</w:t>
            </w:r>
            <w:r w:rsidRPr="00CF36E8">
              <w:rPr>
                <w:rFonts w:ascii="宋体" w:hAnsi="宋体" w:cs="宋体" w:hint="eastAsia"/>
                <w:color w:val="333333"/>
                <w:spacing w:val="10"/>
                <w:sz w:val="18"/>
                <w:szCs w:val="18"/>
              </w:rPr>
              <w:t>、阿联酋阿布扎比国家石油公司ADNOC将5月从阿布扎比和富查伊拉港口出口的穆尔班原油售价设定为67.71美元/桶 。</w:t>
            </w:r>
          </w:p>
          <w:p w:rsidR="00CF36E8" w:rsidRPr="009F3CDD" w:rsidRDefault="00CF36E8" w:rsidP="00CF36E8">
            <w:pPr>
              <w:rPr>
                <w:rFonts w:ascii="宋体" w:hAnsi="宋体" w:cs="宋体" w:hint="eastAsia"/>
                <w:color w:val="333333"/>
                <w:spacing w:val="10"/>
                <w:sz w:val="18"/>
                <w:szCs w:val="18"/>
              </w:rPr>
            </w:pPr>
            <w:r>
              <w:rPr>
                <w:rFonts w:ascii="宋体" w:hAnsi="宋体" w:cs="宋体"/>
                <w:color w:val="333333"/>
                <w:spacing w:val="10"/>
                <w:sz w:val="18"/>
                <w:szCs w:val="18"/>
              </w:rPr>
              <w:t>13</w:t>
            </w:r>
            <w:r w:rsidRPr="00CF36E8">
              <w:rPr>
                <w:rFonts w:ascii="宋体" w:hAnsi="宋体" w:cs="宋体" w:hint="eastAsia"/>
                <w:color w:val="333333"/>
                <w:spacing w:val="10"/>
                <w:sz w:val="18"/>
                <w:szCs w:val="18"/>
              </w:rPr>
              <w:t>、</w:t>
            </w:r>
            <w:proofErr w:type="gramStart"/>
            <w:r w:rsidRPr="00CF36E8">
              <w:rPr>
                <w:rFonts w:ascii="宋体" w:hAnsi="宋体" w:cs="宋体" w:hint="eastAsia"/>
                <w:color w:val="333333"/>
                <w:spacing w:val="10"/>
                <w:sz w:val="18"/>
                <w:szCs w:val="18"/>
              </w:rPr>
              <w:t>外媒报道</w:t>
            </w:r>
            <w:proofErr w:type="gramEnd"/>
            <w:r w:rsidRPr="00CF36E8">
              <w:rPr>
                <w:rFonts w:ascii="宋体" w:hAnsi="宋体" w:cs="宋体" w:hint="eastAsia"/>
                <w:color w:val="333333"/>
                <w:spacing w:val="10"/>
                <w:sz w:val="18"/>
                <w:szCs w:val="18"/>
              </w:rPr>
              <w:t>，法庭文件和政府统计数字显示，美国把它在阿联酋沿海扣押的一艘伊朗油轮上的大约200万桶原油卖掉了。报道称，这些伊朗原油出现在美国能源信息管理局周末公布的最新数据中，这令大宗商品交易商感到吃惊，因为德黑兰仍是美国一系列制裁的目标。</w:t>
            </w:r>
          </w:p>
        </w:tc>
      </w:tr>
      <w:tr w:rsidR="00CF6558">
        <w:trPr>
          <w:trHeight w:val="382"/>
        </w:trPr>
        <w:tc>
          <w:tcPr>
            <w:tcW w:w="10100" w:type="dxa"/>
          </w:tcPr>
          <w:p w:rsidR="00CF6558" w:rsidRPr="00674EA9" w:rsidRDefault="00653621">
            <w:pPr>
              <w:pBdr>
                <w:top w:val="none" w:sz="0" w:space="0" w:color="000000"/>
                <w:left w:val="none" w:sz="0" w:space="0" w:color="000000"/>
                <w:bottom w:val="none" w:sz="0" w:space="0" w:color="000000"/>
                <w:right w:val="none" w:sz="0" w:space="0" w:color="000000"/>
              </w:pBdr>
              <w:spacing w:line="340" w:lineRule="exact"/>
              <w:ind w:left="-45"/>
              <w:jc w:val="center"/>
            </w:pPr>
            <w:r w:rsidRPr="00674EA9">
              <w:rPr>
                <w:rFonts w:hint="eastAsia"/>
              </w:rPr>
              <w:t>农产品产业链</w:t>
            </w:r>
          </w:p>
        </w:tc>
      </w:tr>
      <w:tr w:rsidR="00CF6558">
        <w:trPr>
          <w:trHeight w:val="406"/>
        </w:trPr>
        <w:tc>
          <w:tcPr>
            <w:tcW w:w="10100" w:type="dxa"/>
          </w:tcPr>
          <w:p w:rsidR="00ED3265" w:rsidRPr="009F3CDD" w:rsidRDefault="00786238" w:rsidP="009D063D">
            <w:pPr>
              <w:rPr>
                <w:rFonts w:ascii="宋体" w:hAnsi="宋体" w:cs="宋体"/>
                <w:color w:val="333333"/>
                <w:spacing w:val="10"/>
                <w:sz w:val="18"/>
                <w:szCs w:val="18"/>
              </w:rPr>
            </w:pPr>
            <w:r>
              <w:t>1</w:t>
            </w:r>
            <w:r>
              <w:t>、咨询机构</w:t>
            </w:r>
            <w:proofErr w:type="spellStart"/>
            <w:r>
              <w:t>StoneX</w:t>
            </w:r>
            <w:proofErr w:type="spellEnd"/>
            <w:r>
              <w:t>公司表示，</w:t>
            </w:r>
            <w:r>
              <w:t>2021</w:t>
            </w:r>
            <w:r>
              <w:t>年巴西大豆出口预计创纪录的</w:t>
            </w:r>
            <w:r>
              <w:t>8550</w:t>
            </w:r>
            <w:r>
              <w:t>万吨，比上月的预测值高出</w:t>
            </w:r>
            <w:r>
              <w:t>50</w:t>
            </w:r>
            <w:r>
              <w:t>万吨，高于上年的</w:t>
            </w:r>
            <w:r>
              <w:t>8300</w:t>
            </w:r>
            <w:r>
              <w:t>万吨。（来源：我的农产品网）</w:t>
            </w:r>
            <w:r>
              <w:br/>
              <w:t>2</w:t>
            </w:r>
            <w:r>
              <w:t>、战略谷物公司发布的月底报告显示，下一年度欧盟大豆产量调低了</w:t>
            </w:r>
            <w:r>
              <w:t>4</w:t>
            </w:r>
            <w:r>
              <w:t>万吨，因为播种面积低于早先预期。报告显示，</w:t>
            </w:r>
            <w:r>
              <w:t>2021/22</w:t>
            </w:r>
            <w:r>
              <w:t>年度欧盟大豆产量预计为</w:t>
            </w:r>
            <w:r>
              <w:t>277</w:t>
            </w:r>
            <w:r>
              <w:t>万吨，低于上月的预测值</w:t>
            </w:r>
            <w:r>
              <w:t>281</w:t>
            </w:r>
            <w:r>
              <w:t>万吨，比上年的</w:t>
            </w:r>
            <w:r>
              <w:t>258</w:t>
            </w:r>
            <w:r>
              <w:t>万吨增加</w:t>
            </w:r>
            <w:r>
              <w:t>7.4%</w:t>
            </w:r>
            <w:r>
              <w:t>。（来源：我的农产品网）</w:t>
            </w:r>
            <w:r>
              <w:br/>
            </w:r>
            <w:r>
              <w:lastRenderedPageBreak/>
              <w:t>3</w:t>
            </w:r>
            <w:r>
              <w:t>、巴西外贸秘书处（</w:t>
            </w:r>
            <w:proofErr w:type="spellStart"/>
            <w:r>
              <w:t>Secex</w:t>
            </w:r>
            <w:proofErr w:type="spellEnd"/>
            <w:r>
              <w:t>）发布的官方海关数据显示，</w:t>
            </w:r>
            <w:r>
              <w:t>2021</w:t>
            </w:r>
            <w:r>
              <w:t>年</w:t>
            </w:r>
            <w:r>
              <w:t>5</w:t>
            </w:r>
            <w:r>
              <w:t>月份巴西大豆出口量达到</w:t>
            </w:r>
            <w:r>
              <w:t>1640</w:t>
            </w:r>
            <w:r>
              <w:t>万吨，创下同期最高水平，比去年同期增长</w:t>
            </w:r>
            <w:r>
              <w:t>16.3%</w:t>
            </w:r>
            <w:r>
              <w:t>。但是比</w:t>
            </w:r>
            <w:r>
              <w:t>4</w:t>
            </w:r>
            <w:r>
              <w:t>月份创下的历史最高纪录</w:t>
            </w:r>
            <w:r>
              <w:t>1738</w:t>
            </w:r>
            <w:r>
              <w:t>万吨减少</w:t>
            </w:r>
            <w:r>
              <w:t>5.6%</w:t>
            </w:r>
            <w:r>
              <w:t>。（来源：我的农产品网）</w:t>
            </w:r>
          </w:p>
        </w:tc>
      </w:tr>
      <w:tr w:rsidR="00CF6558">
        <w:trPr>
          <w:trHeight w:val="400"/>
        </w:trPr>
        <w:tc>
          <w:tcPr>
            <w:tcW w:w="10100" w:type="dxa"/>
          </w:tcPr>
          <w:p w:rsidR="00CF6558" w:rsidRPr="009F3CDD" w:rsidRDefault="00653621" w:rsidP="000D3C5F">
            <w:pPr>
              <w:pBdr>
                <w:top w:val="none" w:sz="0" w:space="0" w:color="000000"/>
                <w:left w:val="none" w:sz="0" w:space="0" w:color="000000"/>
                <w:bottom w:val="none" w:sz="0" w:space="0" w:color="000000"/>
                <w:right w:val="none" w:sz="0" w:space="0" w:color="000000"/>
              </w:pBdr>
              <w:jc w:val="center"/>
              <w:rPr>
                <w:rFonts w:ascii="宋体" w:hAnsi="宋体" w:cs="宋体"/>
                <w:color w:val="333333"/>
                <w:spacing w:val="10"/>
                <w:sz w:val="18"/>
                <w:szCs w:val="18"/>
              </w:rPr>
            </w:pPr>
            <w:proofErr w:type="gramStart"/>
            <w:r w:rsidRPr="00674EA9">
              <w:rPr>
                <w:rFonts w:hint="eastAsia"/>
              </w:rPr>
              <w:lastRenderedPageBreak/>
              <w:t>软商品</w:t>
            </w:r>
            <w:proofErr w:type="gramEnd"/>
          </w:p>
        </w:tc>
      </w:tr>
      <w:tr w:rsidR="00CF6558">
        <w:trPr>
          <w:trHeight w:val="90"/>
        </w:trPr>
        <w:tc>
          <w:tcPr>
            <w:tcW w:w="10100" w:type="dxa"/>
          </w:tcPr>
          <w:p w:rsidR="00185749" w:rsidRPr="00185749" w:rsidRDefault="00185749" w:rsidP="00185749">
            <w:pPr>
              <w:rPr>
                <w:rFonts w:ascii="宋体" w:hAnsi="宋体" w:cs="宋体"/>
                <w:color w:val="333333"/>
                <w:spacing w:val="10"/>
                <w:sz w:val="18"/>
                <w:szCs w:val="18"/>
              </w:rPr>
            </w:pPr>
            <w:r w:rsidRPr="00185749">
              <w:rPr>
                <w:rFonts w:ascii="宋体" w:hAnsi="宋体" w:cs="宋体" w:hint="eastAsia"/>
                <w:color w:val="333333"/>
                <w:spacing w:val="10"/>
                <w:sz w:val="18"/>
                <w:szCs w:val="18"/>
              </w:rPr>
              <w:t>1、2020年1月1日至2021年5月21日，新疆棉花交割仓库仓单注册量已达131万吨，在全国棉花交割仓库仓单总注册量中占比高达64%。新疆交割仓库中超过50%的棉花仓单在环奎屯市一带生成，这里已成为棉花期货核心交割基准区。（中国棉花网）</w:t>
            </w:r>
          </w:p>
          <w:p w:rsidR="00185749" w:rsidRPr="00185749" w:rsidRDefault="00185749" w:rsidP="00185749">
            <w:pPr>
              <w:rPr>
                <w:rFonts w:ascii="宋体" w:hAnsi="宋体" w:cs="宋体"/>
                <w:color w:val="333333"/>
                <w:spacing w:val="10"/>
                <w:sz w:val="18"/>
                <w:szCs w:val="18"/>
              </w:rPr>
            </w:pPr>
            <w:r w:rsidRPr="00185749">
              <w:rPr>
                <w:rFonts w:ascii="宋体" w:hAnsi="宋体" w:cs="宋体" w:hint="eastAsia"/>
                <w:color w:val="333333"/>
                <w:spacing w:val="10"/>
                <w:sz w:val="18"/>
                <w:szCs w:val="18"/>
              </w:rPr>
              <w:t>2、近些年来受多重因素影响，巴基斯坦棉花种植面积和产量持续下降，2020/21年度棉花产量更是减少至不足百万吨，导致棉花供应严重短缺。（中国棉花网）</w:t>
            </w:r>
          </w:p>
          <w:p w:rsidR="00185749" w:rsidRPr="00185749" w:rsidRDefault="00185749" w:rsidP="00185749">
            <w:pPr>
              <w:rPr>
                <w:rFonts w:ascii="宋体" w:hAnsi="宋体" w:cs="宋体"/>
                <w:color w:val="333333"/>
                <w:spacing w:val="10"/>
                <w:sz w:val="18"/>
                <w:szCs w:val="18"/>
              </w:rPr>
            </w:pPr>
            <w:r w:rsidRPr="00185749">
              <w:rPr>
                <w:rFonts w:ascii="宋体" w:hAnsi="宋体" w:cs="宋体" w:hint="eastAsia"/>
                <w:color w:val="333333"/>
                <w:spacing w:val="10"/>
                <w:sz w:val="18"/>
                <w:szCs w:val="18"/>
              </w:rPr>
              <w:t>3、截至2021年5月30日，美国棉花播种进度为64%，与去年同期持平;现蕾进度为6%，比去年同期减少2个百分点;良好以上的占43%，较去年同期减少1个百分点;</w:t>
            </w:r>
            <w:proofErr w:type="gramStart"/>
            <w:r w:rsidRPr="00185749">
              <w:rPr>
                <w:rFonts w:ascii="宋体" w:hAnsi="宋体" w:cs="宋体" w:hint="eastAsia"/>
                <w:color w:val="333333"/>
                <w:spacing w:val="10"/>
                <w:sz w:val="18"/>
                <w:szCs w:val="18"/>
              </w:rPr>
              <w:t>差苗比例</w:t>
            </w:r>
            <w:proofErr w:type="gramEnd"/>
            <w:r w:rsidRPr="00185749">
              <w:rPr>
                <w:rFonts w:ascii="宋体" w:hAnsi="宋体" w:cs="宋体" w:hint="eastAsia"/>
                <w:color w:val="333333"/>
                <w:spacing w:val="10"/>
                <w:sz w:val="18"/>
                <w:szCs w:val="18"/>
              </w:rPr>
              <w:t>为19%，大大高于去年同期的8%。（纺织资讯）</w:t>
            </w:r>
          </w:p>
          <w:p w:rsidR="00185749" w:rsidRPr="00185749" w:rsidRDefault="00185749" w:rsidP="00185749">
            <w:pPr>
              <w:rPr>
                <w:rFonts w:ascii="宋体" w:hAnsi="宋体" w:cs="宋体"/>
                <w:color w:val="333333"/>
                <w:spacing w:val="10"/>
                <w:sz w:val="18"/>
                <w:szCs w:val="18"/>
              </w:rPr>
            </w:pPr>
            <w:r w:rsidRPr="00185749">
              <w:rPr>
                <w:rFonts w:ascii="宋体" w:hAnsi="宋体" w:cs="宋体" w:hint="eastAsia"/>
                <w:color w:val="333333"/>
                <w:spacing w:val="10"/>
                <w:sz w:val="18"/>
                <w:szCs w:val="18"/>
              </w:rPr>
              <w:t>4、国际棉花咨询委员会(ICAC)6月全球产需预测认为，2021/22年度全球棉花产量增长5%达到2550万吨，消费量增长2%为2530万吨,期末库存小幅减少到2200万吨。（华瑞信息）</w:t>
            </w:r>
          </w:p>
          <w:p w:rsidR="00185749" w:rsidRPr="00185749" w:rsidRDefault="00185749" w:rsidP="00185749">
            <w:pPr>
              <w:rPr>
                <w:rFonts w:ascii="宋体" w:hAnsi="宋体" w:cs="宋体"/>
                <w:color w:val="333333"/>
                <w:spacing w:val="10"/>
                <w:sz w:val="18"/>
                <w:szCs w:val="18"/>
              </w:rPr>
            </w:pPr>
            <w:r w:rsidRPr="00185749">
              <w:rPr>
                <w:rFonts w:ascii="宋体" w:hAnsi="宋体" w:cs="宋体" w:hint="eastAsia"/>
                <w:color w:val="333333"/>
                <w:spacing w:val="10"/>
                <w:sz w:val="18"/>
                <w:szCs w:val="18"/>
              </w:rPr>
              <w:t>5、美国商品期货交易委员会（CFTC）周五公布的数据显示，截至5月25日当周，基金经理及对冲基金减持ICE原糖期货及期权净多头头寸13,185手，至162,733手；减持ICE棉花期货及期权净多头头寸7,186手至42,094手。（农产品期货网）</w:t>
            </w:r>
          </w:p>
          <w:p w:rsidR="00185749" w:rsidRPr="00185749" w:rsidRDefault="00185749" w:rsidP="00185749">
            <w:pPr>
              <w:rPr>
                <w:rFonts w:ascii="宋体" w:hAnsi="宋体" w:cs="宋体"/>
                <w:color w:val="333333"/>
                <w:spacing w:val="10"/>
                <w:sz w:val="18"/>
                <w:szCs w:val="18"/>
              </w:rPr>
            </w:pPr>
            <w:r w:rsidRPr="00185749">
              <w:rPr>
                <w:rFonts w:ascii="宋体" w:hAnsi="宋体" w:cs="宋体" w:hint="eastAsia"/>
                <w:color w:val="333333"/>
                <w:spacing w:val="10"/>
                <w:sz w:val="18"/>
                <w:szCs w:val="18"/>
              </w:rPr>
              <w:t>6、5月份越南国内食糖批发价格上涨，最新的批发价是16500-16700越南盾/公斤，约合720-730 美元/吨，较一个月前上涨了10-12%。（农产品期货网）</w:t>
            </w:r>
          </w:p>
          <w:p w:rsidR="00185749" w:rsidRPr="00185749" w:rsidRDefault="00185749" w:rsidP="00185749">
            <w:pPr>
              <w:rPr>
                <w:rFonts w:ascii="宋体" w:hAnsi="宋体" w:cs="宋体"/>
                <w:color w:val="333333"/>
                <w:spacing w:val="10"/>
                <w:sz w:val="18"/>
                <w:szCs w:val="18"/>
              </w:rPr>
            </w:pPr>
            <w:r w:rsidRPr="00185749">
              <w:rPr>
                <w:rFonts w:ascii="宋体" w:hAnsi="宋体" w:cs="宋体" w:hint="eastAsia"/>
                <w:color w:val="333333"/>
                <w:spacing w:val="10"/>
                <w:sz w:val="18"/>
                <w:szCs w:val="18"/>
              </w:rPr>
              <w:t>7、2020/21年度印度甘蔗产量将达到3.928亿吨，比2019/20年度的3.705亿吨提高6.02%。2018/19年度印度甘蔗产量达到创纪录的4.0542亿吨。5月20日开始，将国内的食糖出口补贴金额削减了31.4％。（云南糖网）</w:t>
            </w:r>
          </w:p>
          <w:p w:rsidR="00185749" w:rsidRPr="00185749" w:rsidRDefault="00185749" w:rsidP="00185749">
            <w:pPr>
              <w:rPr>
                <w:rFonts w:ascii="宋体" w:hAnsi="宋体" w:cs="宋体"/>
                <w:color w:val="333333"/>
                <w:spacing w:val="10"/>
                <w:sz w:val="18"/>
                <w:szCs w:val="18"/>
              </w:rPr>
            </w:pPr>
            <w:r w:rsidRPr="00185749">
              <w:rPr>
                <w:rFonts w:ascii="宋体" w:hAnsi="宋体" w:cs="宋体" w:hint="eastAsia"/>
                <w:color w:val="333333"/>
                <w:spacing w:val="10"/>
                <w:sz w:val="18"/>
                <w:szCs w:val="18"/>
              </w:rPr>
              <w:t>8、巴西发布水资源紧缺警报状态，并归类为“严重”。这是巴西1910年以来首次触发此类警报。受干旱天气的预期影响，咖啡期货达到了2016年11月以来的最高点。原糖期货价格同样受益上行。（云南糖网）</w:t>
            </w:r>
          </w:p>
          <w:p w:rsidR="00185749" w:rsidRPr="00185749" w:rsidRDefault="00185749" w:rsidP="00185749">
            <w:pPr>
              <w:rPr>
                <w:rFonts w:ascii="宋体" w:hAnsi="宋体" w:cs="宋体"/>
                <w:color w:val="333333"/>
                <w:spacing w:val="10"/>
                <w:sz w:val="18"/>
                <w:szCs w:val="18"/>
              </w:rPr>
            </w:pPr>
            <w:r w:rsidRPr="00185749">
              <w:rPr>
                <w:rFonts w:ascii="宋体" w:hAnsi="宋体" w:cs="宋体" w:hint="eastAsia"/>
                <w:color w:val="333333"/>
                <w:spacing w:val="10"/>
                <w:sz w:val="18"/>
                <w:szCs w:val="18"/>
              </w:rPr>
              <w:t>9、行业组织</w:t>
            </w:r>
            <w:proofErr w:type="spellStart"/>
            <w:r w:rsidRPr="00185749">
              <w:rPr>
                <w:rFonts w:ascii="宋体" w:hAnsi="宋体" w:cs="宋体" w:hint="eastAsia"/>
                <w:color w:val="333333"/>
                <w:spacing w:val="10"/>
                <w:sz w:val="18"/>
                <w:szCs w:val="18"/>
              </w:rPr>
              <w:t>Unica</w:t>
            </w:r>
            <w:proofErr w:type="spellEnd"/>
            <w:r w:rsidRPr="00185749">
              <w:rPr>
                <w:rFonts w:ascii="宋体" w:hAnsi="宋体" w:cs="宋体" w:hint="eastAsia"/>
                <w:color w:val="333333"/>
                <w:spacing w:val="10"/>
                <w:sz w:val="18"/>
                <w:szCs w:val="18"/>
              </w:rPr>
              <w:t>周三公布的数据显示，巴西中南部地区5月上半月的糖产量为237万吨，仅较上年同期低4.4%；甘蔗压榨量为4,100万吨，较上年同期低3%；同期乙醇产量为18.1亿公升，较上年同期低0.6%。（糖业协会）</w:t>
            </w:r>
          </w:p>
          <w:p w:rsidR="00185749" w:rsidRPr="00185749" w:rsidRDefault="00185749" w:rsidP="00185749">
            <w:pPr>
              <w:rPr>
                <w:rFonts w:ascii="宋体" w:hAnsi="宋体" w:cs="宋体"/>
                <w:color w:val="333333"/>
                <w:spacing w:val="10"/>
                <w:sz w:val="18"/>
                <w:szCs w:val="18"/>
              </w:rPr>
            </w:pPr>
            <w:r w:rsidRPr="00185749">
              <w:rPr>
                <w:rFonts w:ascii="宋体" w:hAnsi="宋体" w:cs="宋体" w:hint="eastAsia"/>
                <w:color w:val="333333"/>
                <w:spacing w:val="10"/>
                <w:sz w:val="18"/>
                <w:szCs w:val="18"/>
              </w:rPr>
              <w:t>10、因印度和泰国等产糖国产量的增加将超过巴西产量的减少，全球</w:t>
            </w:r>
            <w:proofErr w:type="gramStart"/>
            <w:r w:rsidRPr="00185749">
              <w:rPr>
                <w:rFonts w:ascii="宋体" w:hAnsi="宋体" w:cs="宋体" w:hint="eastAsia"/>
                <w:color w:val="333333"/>
                <w:spacing w:val="10"/>
                <w:sz w:val="18"/>
                <w:szCs w:val="18"/>
              </w:rPr>
              <w:t>糖市场</w:t>
            </w:r>
            <w:proofErr w:type="gramEnd"/>
            <w:r w:rsidRPr="00185749">
              <w:rPr>
                <w:rFonts w:ascii="宋体" w:hAnsi="宋体" w:cs="宋体" w:hint="eastAsia"/>
                <w:color w:val="333333"/>
                <w:spacing w:val="10"/>
                <w:sz w:val="18"/>
                <w:szCs w:val="18"/>
              </w:rPr>
              <w:t>预计将在2021/22年度(10月至9月)从本年度的短缺转向小幅过剩，预计2021/22年度全球将出现170万吨的过剩，而2020/21年度为短缺370万吨。（农产品期货网）</w:t>
            </w:r>
          </w:p>
          <w:p w:rsidR="00185749" w:rsidRPr="00185749" w:rsidRDefault="00185749" w:rsidP="00185749">
            <w:pPr>
              <w:rPr>
                <w:rFonts w:ascii="宋体" w:hAnsi="宋体" w:cs="宋体"/>
                <w:color w:val="333333"/>
                <w:spacing w:val="10"/>
                <w:sz w:val="18"/>
                <w:szCs w:val="18"/>
              </w:rPr>
            </w:pPr>
            <w:r w:rsidRPr="00185749">
              <w:rPr>
                <w:rFonts w:ascii="宋体" w:hAnsi="宋体" w:cs="宋体" w:hint="eastAsia"/>
                <w:color w:val="333333"/>
                <w:spacing w:val="10"/>
                <w:sz w:val="18"/>
                <w:szCs w:val="18"/>
              </w:rPr>
              <w:t>11、2021年5月越南橡胶出口量预计将达到8万吨左右，同比约增7.2%，环比约增26.1%； 1-5月出口橡胶共计约54.8万吨，同比约增58.7%。（天然橡胶网）</w:t>
            </w:r>
          </w:p>
          <w:p w:rsidR="00185749" w:rsidRPr="00185749" w:rsidRDefault="00185749" w:rsidP="00185749">
            <w:pPr>
              <w:rPr>
                <w:rFonts w:ascii="宋体" w:hAnsi="宋体" w:cs="宋体"/>
                <w:color w:val="333333"/>
                <w:spacing w:val="10"/>
                <w:sz w:val="18"/>
                <w:szCs w:val="18"/>
              </w:rPr>
            </w:pPr>
            <w:r w:rsidRPr="00185749">
              <w:rPr>
                <w:rFonts w:ascii="宋体" w:hAnsi="宋体" w:cs="宋体" w:hint="eastAsia"/>
                <w:color w:val="333333"/>
                <w:spacing w:val="10"/>
                <w:sz w:val="18"/>
                <w:szCs w:val="18"/>
              </w:rPr>
              <w:t>12、截至5月27日，山东地区轮胎企业全钢</w:t>
            </w:r>
            <w:proofErr w:type="gramStart"/>
            <w:r w:rsidRPr="00185749">
              <w:rPr>
                <w:rFonts w:ascii="宋体" w:hAnsi="宋体" w:cs="宋体" w:hint="eastAsia"/>
                <w:color w:val="333333"/>
                <w:spacing w:val="10"/>
                <w:sz w:val="18"/>
                <w:szCs w:val="18"/>
              </w:rPr>
              <w:t>胎</w:t>
            </w:r>
            <w:proofErr w:type="gramEnd"/>
            <w:r w:rsidRPr="00185749">
              <w:rPr>
                <w:rFonts w:ascii="宋体" w:hAnsi="宋体" w:cs="宋体" w:hint="eastAsia"/>
                <w:color w:val="333333"/>
                <w:spacing w:val="10"/>
                <w:sz w:val="18"/>
                <w:szCs w:val="18"/>
              </w:rPr>
              <w:t>开工负荷为55.36%，较前一周下跌7.16个百分点，较去年同期下跌10.86个百分点；国内轮胎企业半钢</w:t>
            </w:r>
            <w:proofErr w:type="gramStart"/>
            <w:r w:rsidRPr="00185749">
              <w:rPr>
                <w:rFonts w:ascii="宋体" w:hAnsi="宋体" w:cs="宋体" w:hint="eastAsia"/>
                <w:color w:val="333333"/>
                <w:spacing w:val="10"/>
                <w:sz w:val="18"/>
                <w:szCs w:val="18"/>
              </w:rPr>
              <w:t>胎</w:t>
            </w:r>
            <w:proofErr w:type="gramEnd"/>
            <w:r w:rsidRPr="00185749">
              <w:rPr>
                <w:rFonts w:ascii="宋体" w:hAnsi="宋体" w:cs="宋体" w:hint="eastAsia"/>
                <w:color w:val="333333"/>
                <w:spacing w:val="10"/>
                <w:sz w:val="18"/>
                <w:szCs w:val="18"/>
              </w:rPr>
              <w:t>开工负荷为56.22%，较前一周下跌4.76个百分点，较去年同期下跌4.79个百分点。（天然橡胶网）</w:t>
            </w:r>
          </w:p>
          <w:p w:rsidR="00185749" w:rsidRPr="00185749" w:rsidRDefault="00185749" w:rsidP="00185749">
            <w:pPr>
              <w:rPr>
                <w:rFonts w:ascii="宋体" w:hAnsi="宋体" w:cs="宋体"/>
                <w:color w:val="333333"/>
                <w:spacing w:val="10"/>
                <w:sz w:val="18"/>
                <w:szCs w:val="18"/>
              </w:rPr>
            </w:pPr>
            <w:r w:rsidRPr="00185749">
              <w:rPr>
                <w:rFonts w:ascii="宋体" w:hAnsi="宋体" w:cs="宋体" w:hint="eastAsia"/>
                <w:color w:val="333333"/>
                <w:spacing w:val="10"/>
                <w:sz w:val="18"/>
                <w:szCs w:val="18"/>
              </w:rPr>
              <w:t>13、中汽协公布，5月上中旬，国内11家重点汽车企业完成生产98.3万辆，同比下降10.7%。其中，乘用车减少9.9%，商用</w:t>
            </w:r>
            <w:proofErr w:type="gramStart"/>
            <w:r w:rsidRPr="00185749">
              <w:rPr>
                <w:rFonts w:ascii="宋体" w:hAnsi="宋体" w:cs="宋体" w:hint="eastAsia"/>
                <w:color w:val="333333"/>
                <w:spacing w:val="10"/>
                <w:sz w:val="18"/>
                <w:szCs w:val="18"/>
              </w:rPr>
              <w:t>车减少</w:t>
            </w:r>
            <w:proofErr w:type="gramEnd"/>
            <w:r w:rsidRPr="00185749">
              <w:rPr>
                <w:rFonts w:ascii="宋体" w:hAnsi="宋体" w:cs="宋体" w:hint="eastAsia"/>
                <w:color w:val="333333"/>
                <w:spacing w:val="10"/>
                <w:sz w:val="18"/>
                <w:szCs w:val="18"/>
              </w:rPr>
              <w:t>14.1%。</w:t>
            </w:r>
            <w:proofErr w:type="gramStart"/>
            <w:r w:rsidRPr="00185749">
              <w:rPr>
                <w:rFonts w:ascii="宋体" w:hAnsi="宋体" w:cs="宋体" w:hint="eastAsia"/>
                <w:color w:val="333333"/>
                <w:spacing w:val="10"/>
                <w:sz w:val="18"/>
                <w:szCs w:val="18"/>
              </w:rPr>
              <w:t>5月重卡销量</w:t>
            </w:r>
            <w:proofErr w:type="gramEnd"/>
            <w:r w:rsidRPr="00185749">
              <w:rPr>
                <w:rFonts w:ascii="宋体" w:hAnsi="宋体" w:cs="宋体" w:hint="eastAsia"/>
                <w:color w:val="333333"/>
                <w:spacing w:val="10"/>
                <w:sz w:val="18"/>
                <w:szCs w:val="18"/>
              </w:rPr>
              <w:t>预计将出现今年以来的首次下滑。（橡胶技术网）</w:t>
            </w:r>
          </w:p>
          <w:p w:rsidR="00185749" w:rsidRPr="00185749" w:rsidRDefault="00185749" w:rsidP="00185749">
            <w:pPr>
              <w:rPr>
                <w:rFonts w:ascii="宋体" w:hAnsi="宋体" w:cs="宋体"/>
                <w:color w:val="333333"/>
                <w:spacing w:val="10"/>
                <w:sz w:val="18"/>
                <w:szCs w:val="18"/>
              </w:rPr>
            </w:pPr>
            <w:r w:rsidRPr="00185749">
              <w:rPr>
                <w:rFonts w:ascii="宋体" w:hAnsi="宋体" w:cs="宋体" w:hint="eastAsia"/>
                <w:color w:val="333333"/>
                <w:spacing w:val="10"/>
                <w:sz w:val="18"/>
                <w:szCs w:val="18"/>
              </w:rPr>
              <w:t>14、作为全世界最大的橡胶生产地区，东南亚的橡胶供应决定着下游轮胎产业的兴衰，而疫情使得东南亚地区几近停摆，国内轮胎行业赖以生存的橡胶供应链有可能中断。（橡胶技术网）</w:t>
            </w:r>
          </w:p>
          <w:p w:rsidR="00CF6558" w:rsidRPr="00422593" w:rsidRDefault="00185749" w:rsidP="00185749">
            <w:pPr>
              <w:rPr>
                <w:rFonts w:ascii="inherit" w:hAnsi="inherit" w:hint="eastAsia"/>
                <w:color w:val="000000"/>
                <w:kern w:val="0"/>
                <w:szCs w:val="21"/>
              </w:rPr>
            </w:pPr>
            <w:r w:rsidRPr="00185749">
              <w:rPr>
                <w:rFonts w:ascii="宋体" w:hAnsi="宋体" w:cs="宋体" w:hint="eastAsia"/>
                <w:color w:val="333333"/>
                <w:spacing w:val="10"/>
                <w:sz w:val="18"/>
                <w:szCs w:val="18"/>
              </w:rPr>
              <w:t>15、传闻山东部分地区受环保督察影响开工受阻，且发泡制品订单情况较差导致生产企业开工意愿降低。（WIND</w:t>
            </w:r>
            <w:r w:rsidR="00634157" w:rsidRPr="00634157">
              <w:rPr>
                <w:rFonts w:ascii="宋体" w:hAnsi="宋体" w:cs="宋体" w:hint="eastAsia"/>
                <w:color w:val="333333"/>
                <w:spacing w:val="10"/>
                <w:sz w:val="18"/>
                <w:szCs w:val="18"/>
              </w:rPr>
              <w:t>）</w:t>
            </w:r>
          </w:p>
        </w:tc>
      </w:tr>
    </w:tbl>
    <w:p w:rsidR="00CF6558" w:rsidRDefault="00CF6558">
      <w:pPr>
        <w:pStyle w:val="19"/>
        <w:widowControl/>
        <w:tabs>
          <w:tab w:val="left" w:pos="8595"/>
        </w:tabs>
        <w:spacing w:line="300" w:lineRule="auto"/>
        <w:ind w:firstLineChars="0" w:firstLine="0"/>
        <w:jc w:val="left"/>
        <w:rPr>
          <w:rFonts w:ascii="宋体" w:hAnsi="宋体"/>
          <w:kern w:val="0"/>
          <w:sz w:val="20"/>
        </w:rPr>
      </w:pPr>
    </w:p>
    <w:p w:rsidR="00CF6558" w:rsidRDefault="00653621">
      <w:pPr>
        <w:pStyle w:val="19"/>
        <w:widowControl/>
        <w:tabs>
          <w:tab w:val="left" w:pos="720"/>
          <w:tab w:val="left" w:pos="8595"/>
        </w:tabs>
        <w:spacing w:line="300" w:lineRule="auto"/>
        <w:ind w:firstLineChars="0" w:firstLine="0"/>
        <w:jc w:val="left"/>
        <w:rPr>
          <w:rFonts w:ascii="黑体" w:eastAsia="黑体" w:hAnsi="宋体"/>
          <w:color w:val="000000"/>
          <w:sz w:val="24"/>
        </w:rPr>
      </w:pPr>
      <w:r>
        <w:br w:type="page"/>
      </w:r>
      <w:bookmarkEnd w:id="4"/>
      <w:r>
        <w:rPr>
          <w:rFonts w:ascii="宋体" w:hAnsi="宋体"/>
          <w:kern w:val="0"/>
          <w:sz w:val="20"/>
        </w:rPr>
        <w:lastRenderedPageBreak/>
        <w:tab/>
      </w:r>
      <w:r>
        <w:rPr>
          <w:rFonts w:ascii="黑体" w:eastAsia="黑体" w:hAnsi="宋体" w:hint="eastAsia"/>
          <w:color w:val="000000"/>
          <w:sz w:val="24"/>
        </w:rPr>
        <w:t>免责声明：</w:t>
      </w:r>
    </w:p>
    <w:p w:rsidR="00CF6558" w:rsidRDefault="00653621">
      <w:pPr>
        <w:spacing w:line="340" w:lineRule="exact"/>
        <w:ind w:firstLineChars="200" w:firstLine="420"/>
        <w:rPr>
          <w:rFonts w:ascii="宋体" w:hAnsi="宋体"/>
          <w:color w:val="000000"/>
        </w:rPr>
      </w:pPr>
      <w:r>
        <w:rPr>
          <w:rFonts w:ascii="宋体" w:hAnsi="宋体" w:hint="eastAsia"/>
          <w:color w:val="000000"/>
        </w:rPr>
        <w:t>1.本报告中的信息均来源于可信的公开资料或实地调研资料，我公司对这些信息的准确性及完整性不作任何保证，也不保证所包含的信息和建议不会发生任何变更。我们已力求报告内容的客观、公正，但文中的观点、结论和建议仅供参考，在任何情况下，报告中的信息或所表达的意见并不构成所述期货买卖的出价</w:t>
      </w:r>
      <w:proofErr w:type="gramStart"/>
      <w:r>
        <w:rPr>
          <w:rFonts w:ascii="宋体" w:hAnsi="宋体" w:hint="eastAsia"/>
          <w:color w:val="000000"/>
        </w:rPr>
        <w:t>或征价</w:t>
      </w:r>
      <w:proofErr w:type="gramEnd"/>
      <w:r>
        <w:rPr>
          <w:rFonts w:ascii="宋体" w:hAnsi="宋体" w:hint="eastAsia"/>
          <w:color w:val="000000"/>
        </w:rPr>
        <w:t>，投资者据此</w:t>
      </w:r>
      <w:proofErr w:type="gramStart"/>
      <w:r>
        <w:rPr>
          <w:rFonts w:ascii="宋体" w:hAnsi="宋体" w:hint="eastAsia"/>
          <w:color w:val="000000"/>
        </w:rPr>
        <w:t>作出</w:t>
      </w:r>
      <w:proofErr w:type="gramEnd"/>
      <w:r>
        <w:rPr>
          <w:rFonts w:ascii="宋体" w:hAnsi="宋体" w:hint="eastAsia"/>
          <w:color w:val="000000"/>
        </w:rPr>
        <w:t>的任何投资决策与本公司和作者无关，请投资者务必独立进行交易决策。我公司不对交易结果做任何保证，不对因本报告的内容而引致的损失承担任何责任。</w:t>
      </w:r>
    </w:p>
    <w:p w:rsidR="00CF6558" w:rsidRDefault="00653621">
      <w:pPr>
        <w:spacing w:line="340" w:lineRule="exact"/>
        <w:ind w:firstLineChars="200" w:firstLine="420"/>
        <w:rPr>
          <w:rFonts w:ascii="宋体" w:hAnsi="宋体"/>
          <w:color w:val="000000"/>
        </w:rPr>
      </w:pPr>
      <w:r>
        <w:rPr>
          <w:rFonts w:ascii="宋体" w:hAnsi="宋体" w:hint="eastAsia"/>
          <w:color w:val="000000"/>
        </w:rPr>
        <w:t>2.市场具有不确定性，过往策略观点的吻合并不保证当前策略观点的正确。公司及其他研究员可能发表与本策略观点不同甚至相反的意见。报告所载资料、意见及推测仅反映研究人员于发出本报告当日的判断，可随时更改且无需另行通告。</w:t>
      </w:r>
    </w:p>
    <w:p w:rsidR="00CF6558" w:rsidRDefault="00653621">
      <w:pPr>
        <w:spacing w:line="340" w:lineRule="exact"/>
        <w:ind w:firstLineChars="200" w:firstLine="420"/>
        <w:rPr>
          <w:rFonts w:ascii="宋体" w:hAnsi="宋体"/>
          <w:color w:val="000000"/>
        </w:rPr>
      </w:pPr>
      <w:r>
        <w:rPr>
          <w:rFonts w:ascii="宋体" w:hAnsi="宋体" w:hint="eastAsia"/>
          <w:color w:val="000000"/>
        </w:rPr>
        <w:t>3.在法律范围内，公司或关联机构可能会就涉及的品种进行交易，或可能为其他公司交易提供服务。</w:t>
      </w:r>
    </w:p>
    <w:p w:rsidR="00CF6558" w:rsidRDefault="00653621">
      <w:pPr>
        <w:spacing w:line="340" w:lineRule="exact"/>
        <w:ind w:firstLineChars="200" w:firstLine="420"/>
        <w:rPr>
          <w:rFonts w:ascii="宋体" w:hAnsi="宋体"/>
          <w:color w:val="000000"/>
        </w:rPr>
      </w:pPr>
      <w:r>
        <w:rPr>
          <w:rFonts w:ascii="宋体" w:hAnsi="宋体" w:hint="eastAsia"/>
          <w:color w:val="000000"/>
        </w:rPr>
        <w:t>4.本报告版权仅为浙江新世纪期货有限公司所有。未经事先书面许可，任何机构和个人不得以任何形式翻版、复制、刊登、转载和引用，否则由此造成的一切不良后果及法律责任由私自翻版、复制、刊登、转载和引用者承担。</w:t>
      </w:r>
    </w:p>
    <w:p w:rsidR="00B15F78" w:rsidRDefault="00B15F78">
      <w:pPr>
        <w:spacing w:line="340" w:lineRule="exact"/>
        <w:ind w:firstLineChars="200" w:firstLine="420"/>
        <w:rPr>
          <w:rFonts w:ascii="宋体" w:hAnsi="宋体"/>
          <w:color w:val="000000"/>
        </w:rPr>
      </w:pPr>
    </w:p>
    <w:sectPr w:rsidR="00B15F78">
      <w:headerReference w:type="even" r:id="rId9"/>
      <w:headerReference w:type="default" r:id="rId10"/>
      <w:footerReference w:type="even" r:id="rId11"/>
      <w:footerReference w:type="default" r:id="rId12"/>
      <w:pgSz w:w="11906" w:h="16838"/>
      <w:pgMar w:top="1701" w:right="1274" w:bottom="1701" w:left="9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0F50" w:rsidRDefault="00C70F50">
      <w:r>
        <w:separator/>
      </w:r>
    </w:p>
  </w:endnote>
  <w:endnote w:type="continuationSeparator" w:id="0">
    <w:p w:rsidR="00C70F50" w:rsidRDefault="00C70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auto"/>
    <w:pitch w:val="default"/>
    <w:sig w:usb0="00000000" w:usb1="00000000" w:usb2="00000000" w:usb3="00000000" w:csb0="00040001" w:csb1="00000000"/>
  </w:font>
  <w:font w:name="Arial Black">
    <w:panose1 w:val="020B0A04020102020204"/>
    <w:charset w:val="00"/>
    <w:family w:val="swiss"/>
    <w:pitch w:val="variable"/>
    <w:sig w:usb0="A00002AF" w:usb1="400078FB" w:usb2="00000000" w:usb3="00000000" w:csb0="0000009F" w:csb1="00000000"/>
  </w:font>
  <w:font w:name="inherit">
    <w:altName w:val="Times New Roman"/>
    <w:charset w:val="00"/>
    <w:family w:val="roman"/>
    <w:pitch w:val="default"/>
  </w:font>
  <w:font w:name="Cambria">
    <w:altName w:val="Arial Unicode MS"/>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rPr>
        <w:b/>
        <w:i/>
        <w:sz w:val="21"/>
      </w:rPr>
    </w:pPr>
    <w:r>
      <w:rPr>
        <w:rFonts w:hint="eastAsia"/>
        <w:b/>
        <w:i/>
        <w:sz w:val="21"/>
      </w:rPr>
      <w:t>内部交流资料，仅供参考</w:t>
    </w:r>
    <w:r>
      <w:fldChar w:fldCharType="begin"/>
    </w:r>
    <w:r>
      <w:rPr>
        <w:rStyle w:val="aff8"/>
      </w:rPr>
      <w:instrText xml:space="preserve"> PAGE </w:instrText>
    </w:r>
    <w:r>
      <w:fldChar w:fldCharType="separate"/>
    </w:r>
    <w:r>
      <w:rPr>
        <w:rStyle w:val="aff8"/>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framePr w:wrap="around" w:vAnchor="text" w:hAnchor="page" w:x="10621" w:y="-182"/>
      <w:rPr>
        <w:rStyle w:val="aff8"/>
        <w:rFonts w:ascii="仿宋_GB2312" w:eastAsia="仿宋_GB2312" w:hAnsi="仿宋_GB2312"/>
        <w:color w:val="CC0000"/>
        <w:sz w:val="22"/>
      </w:rPr>
    </w:pPr>
    <w:r>
      <w:rPr>
        <w:rFonts w:ascii="仿宋_GB2312" w:eastAsia="仿宋_GB2312" w:hAnsi="仿宋_GB2312" w:hint="eastAsia"/>
        <w:b/>
        <w:color w:val="CC0000"/>
        <w:sz w:val="30"/>
      </w:rPr>
      <w:fldChar w:fldCharType="begin"/>
    </w:r>
    <w:r>
      <w:rPr>
        <w:rStyle w:val="aff8"/>
        <w:rFonts w:ascii="仿宋_GB2312" w:eastAsia="仿宋_GB2312" w:hAnsi="仿宋_GB2312" w:hint="eastAsia"/>
        <w:b/>
        <w:color w:val="CC0000"/>
        <w:sz w:val="30"/>
      </w:rPr>
      <w:instrText xml:space="preserve">PAGE  </w:instrText>
    </w:r>
    <w:r>
      <w:rPr>
        <w:rFonts w:ascii="仿宋_GB2312" w:eastAsia="仿宋_GB2312" w:hAnsi="仿宋_GB2312" w:hint="eastAsia"/>
        <w:b/>
        <w:color w:val="CC0000"/>
        <w:sz w:val="30"/>
      </w:rPr>
      <w:fldChar w:fldCharType="separate"/>
    </w:r>
    <w:r w:rsidR="00C07B5C">
      <w:rPr>
        <w:rStyle w:val="aff8"/>
        <w:rFonts w:ascii="仿宋_GB2312" w:eastAsia="仿宋_GB2312" w:hAnsi="仿宋_GB2312"/>
        <w:b/>
        <w:noProof/>
        <w:color w:val="CC0000"/>
        <w:sz w:val="30"/>
      </w:rPr>
      <w:t>5</w:t>
    </w:r>
    <w:r>
      <w:rPr>
        <w:rFonts w:ascii="仿宋_GB2312" w:eastAsia="仿宋_GB2312" w:hAnsi="仿宋_GB2312" w:hint="eastAsia"/>
        <w:b/>
        <w:color w:val="CC0000"/>
        <w:sz w:val="30"/>
      </w:rPr>
      <w:fldChar w:fldCharType="end"/>
    </w:r>
  </w:p>
  <w:p w:rsidR="00CF6558" w:rsidRDefault="00653621">
    <w:pPr>
      <w:pStyle w:val="af9"/>
      <w:rPr>
        <w:sz w:val="21"/>
      </w:rPr>
    </w:pPr>
    <w:r>
      <w:rPr>
        <w:noProof/>
      </w:rPr>
      <mc:AlternateContent>
        <mc:Choice Requires="wps">
          <w:drawing>
            <wp:anchor distT="0" distB="0" distL="114300" distR="114300" simplePos="0" relativeHeight="251664384"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a:effectLst/>
                    </wps:spPr>
                    <wps:bodyPr wrap="square" upright="1"/>
                  </wps:wsp>
                </a:graphicData>
              </a:graphic>
            </wp:anchor>
          </w:drawing>
        </mc:Choice>
        <mc:Fallback xmlns:wpsCustomData="http://www.wps.cn/officeDocument/2013/wpsCustomData">
          <w:pict>
            <v:rect id="Rectangle 8" o:spid="_x0000_s1026" o:spt="1" style="position:absolute;left:0pt;margin-left:477.85pt;margin-top:755.85pt;height:23.4pt;width:27pt;mso-position-vertical-relative:page;z-index:251664384;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z+Y99sAAAAOAQAADwAAAAAAAAABACAAAAAiAAAAZHJzL2Rvd25y&#10;ZXYueG1sUEsBAhQAFAAAAAgAh07iQODD+Tf7AQAAFAQAAA4AAAAAAAAAAQAgAAAAKgEAAGRycy9l&#10;Mm9Eb2MueG1sUEsFBgAAAAAGAAYAWQEAAJcFAAAAAA==&#10;">
              <v:fill on="f" focussize="0,0"/>
              <v:stroke weight="2pt" color="#CC0000" joinstyle="miter"/>
              <v:imagedata o:title=""/>
              <o:lock v:ext="edit" aspectratio="f"/>
            </v:rect>
          </w:pict>
        </mc:Fallback>
      </mc:AlternateContent>
    </w:r>
    <w:r>
      <w:rPr>
        <w:noProof/>
        <w:sz w:val="20"/>
        <w:u w:val="thick"/>
      </w:rPr>
      <mc:AlternateContent>
        <mc:Choice Requires="wps">
          <w:drawing>
            <wp:anchor distT="0" distB="0" distL="114300" distR="114300" simplePos="0" relativeHeight="251663360"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a:effectLst/>
                    </wps:spPr>
                    <wps:txb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wps:txbx>
                    <wps:bodyPr wrap="square" upright="1"/>
                  </wps:wsp>
                </a:graphicData>
              </a:graphic>
            </wp:anchor>
          </w:drawing>
        </mc:Choice>
        <mc:Fallback>
          <w:pict>
            <v:rect id="Rectangle 7" o:spid="_x0000_s1028" style="position:absolute;margin-left:162.7pt;margin-top:755.85pt;width:314.6pt;height:23.4pt;z-index:251663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" fillcolor="#c00" strokecolor="#c00" strokeweight="2pt">
              <v:textbo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v:textbox>
              <w10:wrap anchory="page"/>
            </v:rect>
          </w:pict>
        </mc:Fallback>
      </mc:AlternateContent>
    </w:r>
  </w:p>
  <w:p w:rsidR="00CF6558" w:rsidRDefault="00653621">
    <w:pPr>
      <w:pStyle w:val="af9"/>
    </w:pPr>
    <w:r>
      <w:rPr>
        <w:noProof/>
      </w:rPr>
      <mc:AlternateContent>
        <mc:Choice Requires="wps">
          <w:drawing>
            <wp:anchor distT="0" distB="0" distL="114300" distR="114300" simplePos="0" relativeHeight="251665408"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a:effectLst/>
                    </wps:spPr>
                    <wps:txb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6" o:spid="_x0000_s1029" type="#_x0000_t202" style="position:absolute;margin-left:-19.2pt;margin-top:755.85pt;width:180pt;height:23.4pt;z-index:2516654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" filled="f" strokecolor="#c00" strokeweight="2pt">
              <v:textbo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v:textbox>
              <w10:wrap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0F50" w:rsidRDefault="00C70F50">
      <w:r>
        <w:separator/>
      </w:r>
    </w:p>
  </w:footnote>
  <w:footnote w:type="continuationSeparator" w:id="0">
    <w:p w:rsidR="00C70F50" w:rsidRDefault="00C70F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b"/>
    </w:pPr>
    <w:r>
      <w:rPr>
        <w:rFonts w:hint="eastAsia"/>
        <w:i/>
        <w:sz w:val="21"/>
      </w:rPr>
      <w:t>新世纪期货市场研发部</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rPr>
        <w:rFonts w:ascii="宋体" w:hAnsi="宋体"/>
        <w:kern w:val="0"/>
        <w:sz w:val="24"/>
      </w:rPr>
    </w:pPr>
    <w:r>
      <w:rPr>
        <w:noProof/>
      </w:rPr>
      <w:drawing>
        <wp:anchor distT="0" distB="0" distL="114300" distR="114300" simplePos="0" relativeHeight="251666432" behindDoc="0" locked="0" layoutInCell="1" allowOverlap="1">
          <wp:simplePos x="0" y="0"/>
          <wp:positionH relativeFrom="column">
            <wp:posOffset>-323850</wp:posOffset>
          </wp:positionH>
          <wp:positionV relativeFrom="paragraph">
            <wp:posOffset>-64135</wp:posOffset>
          </wp:positionV>
          <wp:extent cx="2266950" cy="51371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69249" cy="514236"/>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a:effectLst/>
                    </wps:spPr>
                    <wps:txb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wps:txbx>
                    <wps:bodyPr wrap="square" upright="1"/>
                  </wps:wsp>
                </a:graphicData>
              </a:graphic>
            </wp:anchor>
          </w:drawing>
        </mc:Choice>
        <mc:Fallback>
          <w:pict>
            <v:roundrect id="AutoShape 5" o:spid="_x0000_s1027" style="position:absolute;left:0;text-align:left;margin-left:336.5pt;margin-top:3.5pt;width:158.25pt;height:31.2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" filled="f" stroked="f">
              <v:textbo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3" o:spid="_x0000_s1026" o:spt="20" style="position:absolute;left:0pt;margin-left:351pt;margin-top:34.7pt;height:0.05pt;width:144pt;z-index:251660288;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STG7fWAAAACQEAAA8AAAAAAAAA&#10;AQAgAAAAIgAAAGRycy9kb3ducmV2LnhtbFBLAQIUABQAAAAIAIdO4kAuQkto2gEAAN4DAAAOAAAA&#10;AAAAAAEAIAAAACUBAABkcnMvZTJvRG9jLnhtbFBLBQYAAAAABgAGAFkBAABxBQAAAAA=&#10;">
              <v:fill on="f" focussize="0,0"/>
              <v:stroke weight="1.5pt" color="#CC0000" joinstyle="round"/>
              <v:imagedata o:title=""/>
              <o:lock v:ext="edit" aspectratio="f"/>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4" o:spid="_x0000_s1026" o:spt="20" style="position:absolute;left:0pt;margin-left:342pt;margin-top:26.9pt;height:0.05pt;width:144pt;z-index:251661312;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oKFsNoAAAAJAQAADwAA&#10;AAAAAAABACAAAAAiAAAAZHJzL2Rvd25yZXYueG1sUEsBAhQAFAAAAAgAh07iQCQF2P/bAQAA3gMA&#10;AA4AAAAAAAAAAQAgAAAAKQEAAGRycy9lMm9Eb2MueG1sUEsFBgAAAAAGAAYAWQEAAHYFAAAAAA==&#10;">
              <v:fill on="f" focussize="0,0"/>
              <v:stroke weight="1.25pt" color="#CC0000" joinstyle="round"/>
              <v:imagedata o:title=""/>
              <o:lock v:ext="edit" aspectratio="f"/>
            </v:line>
          </w:pict>
        </mc:Fallback>
      </mc:AlternateContent>
    </w:r>
  </w:p>
  <w:p w:rsidR="00CF6558" w:rsidRDefault="00653621">
    <w:pPr>
      <w:pStyle w:val="afb"/>
      <w:pBdr>
        <w:bottom w:val="none" w:sz="0" w:space="0" w:color="auto"/>
      </w:pBdr>
      <w:jc w:val="both"/>
    </w:pPr>
    <w:r>
      <w:rPr>
        <w:noProof/>
      </w:rPr>
      <mc:AlternateContent>
        <mc:Choice Requires="wps">
          <w:drawing>
            <wp:anchor distT="0" distB="0" distL="114300" distR="114300" simplePos="0" relativeHeight="251662336"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1" o:spid="_x0000_s1026" o:spt="20" style="position:absolute;left:0pt;margin-left:-17.65pt;margin-top:85.05pt;height:0.9pt;width:521.55pt;mso-position-vertical-relative:page;z-index:251662336;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IKH92gAAAAwB&#10;AAAPAAAAAAAAAAEAIAAAACIAAABkcnMvZG93bnJldi54bWxQSwECFAAUAAAACACHTuJA9kflvOAB&#10;AADgAwAADgAAAAAAAAABACAAAAApAQAAZHJzL2Uyb0RvYy54bWxQSwUGAAAAAAYABgBZAQAAewUA&#10;AAAA&#10;">
              <v:fill on="f" focussize="0,0"/>
              <v:stroke weight="2pt" color="#CC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A626CE9"/>
    <w:multiLevelType w:val="singleLevel"/>
    <w:tmpl w:val="DA626CE9"/>
    <w:lvl w:ilvl="0">
      <w:start w:val="1"/>
      <w:numFmt w:val="decimal"/>
      <w:lvlText w:val="%1."/>
      <w:lvlJc w:val="left"/>
      <w:pPr>
        <w:ind w:left="425" w:hanging="425"/>
      </w:pPr>
      <w:rPr>
        <w:rFonts w:hint="default"/>
      </w:rPr>
    </w:lvl>
  </w:abstractNum>
  <w:abstractNum w:abstractNumId="1" w15:restartNumberingAfterBreak="0">
    <w:nsid w:val="FE55A576"/>
    <w:multiLevelType w:val="singleLevel"/>
    <w:tmpl w:val="FE55A576"/>
    <w:lvl w:ilvl="0">
      <w:start w:val="1"/>
      <w:numFmt w:val="decimal"/>
      <w:suff w:val="nothing"/>
      <w:lvlText w:val="%1．"/>
      <w:lvlJc w:val="left"/>
      <w:pPr>
        <w:ind w:left="0" w:firstLine="400"/>
      </w:pPr>
      <w:rPr>
        <w:rFonts w:hint="default"/>
      </w:rPr>
    </w:lvl>
  </w:abstractNum>
  <w:abstractNum w:abstractNumId="2" w15:restartNumberingAfterBreak="0">
    <w:nsid w:val="00000002"/>
    <w:multiLevelType w:val="multilevel"/>
    <w:tmpl w:val="00000002"/>
    <w:lvl w:ilvl="0">
      <w:start w:val="1"/>
      <w:numFmt w:val="japaneseCounting"/>
      <w:lvlText w:val="%1、"/>
      <w:lvlJc w:val="left"/>
      <w:pPr>
        <w:tabs>
          <w:tab w:val="left" w:pos="720"/>
        </w:tabs>
        <w:ind w:left="720" w:hanging="720"/>
      </w:pPr>
      <w:rPr>
        <w:rFonts w:hint="default"/>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7C7207A1"/>
    <w:multiLevelType w:val="hybridMultilevel"/>
    <w:tmpl w:val="6928B268"/>
    <w:lvl w:ilvl="0" w:tplc="C96602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attachedTemplate r:id="rId1"/>
  <w:defaultTabStop w:val="420"/>
  <w:drawingGridHorizontalSpacing w:val="0"/>
  <w:drawingGridVerticalSpacing w:val="156"/>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07DE"/>
    <w:rsid w:val="00001578"/>
    <w:rsid w:val="00001B84"/>
    <w:rsid w:val="00001F4A"/>
    <w:rsid w:val="00002F49"/>
    <w:rsid w:val="000032AB"/>
    <w:rsid w:val="00003A0C"/>
    <w:rsid w:val="00004594"/>
    <w:rsid w:val="000055D3"/>
    <w:rsid w:val="0000696A"/>
    <w:rsid w:val="00010961"/>
    <w:rsid w:val="0001284A"/>
    <w:rsid w:val="00012D2B"/>
    <w:rsid w:val="000148CD"/>
    <w:rsid w:val="00014D3F"/>
    <w:rsid w:val="00014FDA"/>
    <w:rsid w:val="000151E2"/>
    <w:rsid w:val="000152EA"/>
    <w:rsid w:val="000157B5"/>
    <w:rsid w:val="000162D8"/>
    <w:rsid w:val="00016603"/>
    <w:rsid w:val="00016995"/>
    <w:rsid w:val="00016BE2"/>
    <w:rsid w:val="00016C70"/>
    <w:rsid w:val="00016F0C"/>
    <w:rsid w:val="000177BD"/>
    <w:rsid w:val="00017EC7"/>
    <w:rsid w:val="00021E93"/>
    <w:rsid w:val="0002344A"/>
    <w:rsid w:val="0002352F"/>
    <w:rsid w:val="00023886"/>
    <w:rsid w:val="000248A7"/>
    <w:rsid w:val="00025229"/>
    <w:rsid w:val="000262CA"/>
    <w:rsid w:val="00026AF9"/>
    <w:rsid w:val="00026E4C"/>
    <w:rsid w:val="000301E8"/>
    <w:rsid w:val="000304BD"/>
    <w:rsid w:val="000310AA"/>
    <w:rsid w:val="00031C98"/>
    <w:rsid w:val="00032320"/>
    <w:rsid w:val="0003281A"/>
    <w:rsid w:val="00032C25"/>
    <w:rsid w:val="00033F3A"/>
    <w:rsid w:val="0003429C"/>
    <w:rsid w:val="00034581"/>
    <w:rsid w:val="00035458"/>
    <w:rsid w:val="00035D84"/>
    <w:rsid w:val="0003602B"/>
    <w:rsid w:val="00036AC4"/>
    <w:rsid w:val="00036BD6"/>
    <w:rsid w:val="00036FD3"/>
    <w:rsid w:val="00037E58"/>
    <w:rsid w:val="000400BC"/>
    <w:rsid w:val="000406F0"/>
    <w:rsid w:val="00040859"/>
    <w:rsid w:val="00040994"/>
    <w:rsid w:val="00040D5A"/>
    <w:rsid w:val="00041866"/>
    <w:rsid w:val="00041E8A"/>
    <w:rsid w:val="00041FC1"/>
    <w:rsid w:val="000425CE"/>
    <w:rsid w:val="00042D12"/>
    <w:rsid w:val="00042F93"/>
    <w:rsid w:val="00043196"/>
    <w:rsid w:val="000442FD"/>
    <w:rsid w:val="00044BC0"/>
    <w:rsid w:val="00046ED2"/>
    <w:rsid w:val="00047789"/>
    <w:rsid w:val="00047876"/>
    <w:rsid w:val="000505CC"/>
    <w:rsid w:val="00050601"/>
    <w:rsid w:val="00053463"/>
    <w:rsid w:val="000534AF"/>
    <w:rsid w:val="000541F2"/>
    <w:rsid w:val="00054826"/>
    <w:rsid w:val="000554FC"/>
    <w:rsid w:val="0005583B"/>
    <w:rsid w:val="000565D3"/>
    <w:rsid w:val="00056A17"/>
    <w:rsid w:val="00056D7C"/>
    <w:rsid w:val="000605E5"/>
    <w:rsid w:val="00060CD3"/>
    <w:rsid w:val="0006149F"/>
    <w:rsid w:val="00061E6A"/>
    <w:rsid w:val="00062139"/>
    <w:rsid w:val="00062191"/>
    <w:rsid w:val="00062941"/>
    <w:rsid w:val="00062A1B"/>
    <w:rsid w:val="00062CD3"/>
    <w:rsid w:val="00063135"/>
    <w:rsid w:val="0006353C"/>
    <w:rsid w:val="00063A25"/>
    <w:rsid w:val="00064B37"/>
    <w:rsid w:val="00064E0A"/>
    <w:rsid w:val="00065F66"/>
    <w:rsid w:val="00065FCE"/>
    <w:rsid w:val="00066114"/>
    <w:rsid w:val="0006669B"/>
    <w:rsid w:val="00067F09"/>
    <w:rsid w:val="0007041D"/>
    <w:rsid w:val="00072621"/>
    <w:rsid w:val="0007298A"/>
    <w:rsid w:val="0007352D"/>
    <w:rsid w:val="00073BB0"/>
    <w:rsid w:val="000741E6"/>
    <w:rsid w:val="0007459E"/>
    <w:rsid w:val="00074CDA"/>
    <w:rsid w:val="000768B0"/>
    <w:rsid w:val="000769CF"/>
    <w:rsid w:val="00076D69"/>
    <w:rsid w:val="00077B13"/>
    <w:rsid w:val="00077D26"/>
    <w:rsid w:val="00080618"/>
    <w:rsid w:val="000806E6"/>
    <w:rsid w:val="00080991"/>
    <w:rsid w:val="00081368"/>
    <w:rsid w:val="0008138A"/>
    <w:rsid w:val="000820DA"/>
    <w:rsid w:val="000822E8"/>
    <w:rsid w:val="00082BD1"/>
    <w:rsid w:val="00082E1B"/>
    <w:rsid w:val="00082EF4"/>
    <w:rsid w:val="00084406"/>
    <w:rsid w:val="000858FA"/>
    <w:rsid w:val="00085936"/>
    <w:rsid w:val="00086087"/>
    <w:rsid w:val="00087AEE"/>
    <w:rsid w:val="00090C4F"/>
    <w:rsid w:val="0009170A"/>
    <w:rsid w:val="000936D1"/>
    <w:rsid w:val="00093D04"/>
    <w:rsid w:val="000944C3"/>
    <w:rsid w:val="00095E92"/>
    <w:rsid w:val="00096881"/>
    <w:rsid w:val="00096CED"/>
    <w:rsid w:val="000970DA"/>
    <w:rsid w:val="00097BE5"/>
    <w:rsid w:val="00097D48"/>
    <w:rsid w:val="000A0EA3"/>
    <w:rsid w:val="000A0EBF"/>
    <w:rsid w:val="000A1241"/>
    <w:rsid w:val="000A1BF4"/>
    <w:rsid w:val="000A201F"/>
    <w:rsid w:val="000A33E7"/>
    <w:rsid w:val="000A4113"/>
    <w:rsid w:val="000A4DC1"/>
    <w:rsid w:val="000A6D18"/>
    <w:rsid w:val="000A73DA"/>
    <w:rsid w:val="000A7530"/>
    <w:rsid w:val="000A7743"/>
    <w:rsid w:val="000B059A"/>
    <w:rsid w:val="000B1FE3"/>
    <w:rsid w:val="000B2560"/>
    <w:rsid w:val="000B389F"/>
    <w:rsid w:val="000B527C"/>
    <w:rsid w:val="000B5362"/>
    <w:rsid w:val="000B5808"/>
    <w:rsid w:val="000B65A1"/>
    <w:rsid w:val="000B686A"/>
    <w:rsid w:val="000B7359"/>
    <w:rsid w:val="000B74C9"/>
    <w:rsid w:val="000C08DB"/>
    <w:rsid w:val="000C095F"/>
    <w:rsid w:val="000C0DAC"/>
    <w:rsid w:val="000C188D"/>
    <w:rsid w:val="000C1D84"/>
    <w:rsid w:val="000C34D3"/>
    <w:rsid w:val="000C3AAB"/>
    <w:rsid w:val="000C571A"/>
    <w:rsid w:val="000C57BB"/>
    <w:rsid w:val="000C584A"/>
    <w:rsid w:val="000C5D55"/>
    <w:rsid w:val="000C694B"/>
    <w:rsid w:val="000C7364"/>
    <w:rsid w:val="000C7A0D"/>
    <w:rsid w:val="000D01DF"/>
    <w:rsid w:val="000D063F"/>
    <w:rsid w:val="000D0BD1"/>
    <w:rsid w:val="000D0BDD"/>
    <w:rsid w:val="000D11E3"/>
    <w:rsid w:val="000D15C1"/>
    <w:rsid w:val="000D1679"/>
    <w:rsid w:val="000D3C5F"/>
    <w:rsid w:val="000D5673"/>
    <w:rsid w:val="000D5F2D"/>
    <w:rsid w:val="000D67DB"/>
    <w:rsid w:val="000D7CF9"/>
    <w:rsid w:val="000E0951"/>
    <w:rsid w:val="000E0B74"/>
    <w:rsid w:val="000E1090"/>
    <w:rsid w:val="000E1A8E"/>
    <w:rsid w:val="000E1BD5"/>
    <w:rsid w:val="000E273D"/>
    <w:rsid w:val="000E3129"/>
    <w:rsid w:val="000E3C4A"/>
    <w:rsid w:val="000E448A"/>
    <w:rsid w:val="000E4972"/>
    <w:rsid w:val="000E49FD"/>
    <w:rsid w:val="000E4ED2"/>
    <w:rsid w:val="000E5C01"/>
    <w:rsid w:val="000F001D"/>
    <w:rsid w:val="000F0DAC"/>
    <w:rsid w:val="000F2E28"/>
    <w:rsid w:val="000F39AD"/>
    <w:rsid w:val="000F3B3C"/>
    <w:rsid w:val="000F4B79"/>
    <w:rsid w:val="000F5FA1"/>
    <w:rsid w:val="000F6104"/>
    <w:rsid w:val="000F6479"/>
    <w:rsid w:val="000F7A77"/>
    <w:rsid w:val="001003DD"/>
    <w:rsid w:val="00100969"/>
    <w:rsid w:val="00100D18"/>
    <w:rsid w:val="001023E9"/>
    <w:rsid w:val="00103CB5"/>
    <w:rsid w:val="00103CD4"/>
    <w:rsid w:val="00104535"/>
    <w:rsid w:val="00104F4D"/>
    <w:rsid w:val="00105581"/>
    <w:rsid w:val="00105CBD"/>
    <w:rsid w:val="00106321"/>
    <w:rsid w:val="001065BD"/>
    <w:rsid w:val="001066E9"/>
    <w:rsid w:val="00106E25"/>
    <w:rsid w:val="00107604"/>
    <w:rsid w:val="00107FFC"/>
    <w:rsid w:val="00110A98"/>
    <w:rsid w:val="0011268B"/>
    <w:rsid w:val="00112CAD"/>
    <w:rsid w:val="00112E2C"/>
    <w:rsid w:val="00113026"/>
    <w:rsid w:val="00113CFE"/>
    <w:rsid w:val="00113DD7"/>
    <w:rsid w:val="0011438E"/>
    <w:rsid w:val="001147BC"/>
    <w:rsid w:val="00114823"/>
    <w:rsid w:val="001159C1"/>
    <w:rsid w:val="00115A51"/>
    <w:rsid w:val="00116A2B"/>
    <w:rsid w:val="00116B1F"/>
    <w:rsid w:val="00116FE1"/>
    <w:rsid w:val="0011701D"/>
    <w:rsid w:val="001179D1"/>
    <w:rsid w:val="00117CDD"/>
    <w:rsid w:val="0012037C"/>
    <w:rsid w:val="001213C3"/>
    <w:rsid w:val="00121967"/>
    <w:rsid w:val="00121A73"/>
    <w:rsid w:val="00122620"/>
    <w:rsid w:val="00122625"/>
    <w:rsid w:val="00122853"/>
    <w:rsid w:val="001237E4"/>
    <w:rsid w:val="00123FDD"/>
    <w:rsid w:val="00124B53"/>
    <w:rsid w:val="00124D52"/>
    <w:rsid w:val="00125FAD"/>
    <w:rsid w:val="0012604C"/>
    <w:rsid w:val="001262DB"/>
    <w:rsid w:val="00126772"/>
    <w:rsid w:val="001269E7"/>
    <w:rsid w:val="00126A7B"/>
    <w:rsid w:val="001324EA"/>
    <w:rsid w:val="00132C2F"/>
    <w:rsid w:val="001331A2"/>
    <w:rsid w:val="001334B0"/>
    <w:rsid w:val="00133C77"/>
    <w:rsid w:val="00134064"/>
    <w:rsid w:val="00134630"/>
    <w:rsid w:val="0013519A"/>
    <w:rsid w:val="00135D81"/>
    <w:rsid w:val="001375D5"/>
    <w:rsid w:val="001379D9"/>
    <w:rsid w:val="001437FB"/>
    <w:rsid w:val="00143AA4"/>
    <w:rsid w:val="00143C87"/>
    <w:rsid w:val="001477A8"/>
    <w:rsid w:val="00150848"/>
    <w:rsid w:val="00150AC9"/>
    <w:rsid w:val="00151B7C"/>
    <w:rsid w:val="00152A8E"/>
    <w:rsid w:val="00153190"/>
    <w:rsid w:val="001531D3"/>
    <w:rsid w:val="00153786"/>
    <w:rsid w:val="001545E6"/>
    <w:rsid w:val="001548A4"/>
    <w:rsid w:val="00155D9A"/>
    <w:rsid w:val="00157BF3"/>
    <w:rsid w:val="0016188E"/>
    <w:rsid w:val="0016196C"/>
    <w:rsid w:val="00161CBE"/>
    <w:rsid w:val="00163A50"/>
    <w:rsid w:val="001644DF"/>
    <w:rsid w:val="00164951"/>
    <w:rsid w:val="001654AC"/>
    <w:rsid w:val="00165892"/>
    <w:rsid w:val="00165C77"/>
    <w:rsid w:val="00166052"/>
    <w:rsid w:val="001671C4"/>
    <w:rsid w:val="00167487"/>
    <w:rsid w:val="0017043F"/>
    <w:rsid w:val="0017060D"/>
    <w:rsid w:val="00171054"/>
    <w:rsid w:val="001715CC"/>
    <w:rsid w:val="001717A3"/>
    <w:rsid w:val="00171D62"/>
    <w:rsid w:val="00172245"/>
    <w:rsid w:val="00172A27"/>
    <w:rsid w:val="001732F3"/>
    <w:rsid w:val="00173952"/>
    <w:rsid w:val="001748FC"/>
    <w:rsid w:val="00175812"/>
    <w:rsid w:val="00175B19"/>
    <w:rsid w:val="001767E4"/>
    <w:rsid w:val="00176816"/>
    <w:rsid w:val="00176D9E"/>
    <w:rsid w:val="0017784E"/>
    <w:rsid w:val="00177BB1"/>
    <w:rsid w:val="00177C2F"/>
    <w:rsid w:val="001804D5"/>
    <w:rsid w:val="0018054E"/>
    <w:rsid w:val="001806BA"/>
    <w:rsid w:val="00180D66"/>
    <w:rsid w:val="001817B2"/>
    <w:rsid w:val="00181B67"/>
    <w:rsid w:val="00181C45"/>
    <w:rsid w:val="001822F7"/>
    <w:rsid w:val="0018271B"/>
    <w:rsid w:val="001835EC"/>
    <w:rsid w:val="0018365A"/>
    <w:rsid w:val="00183E89"/>
    <w:rsid w:val="0018435A"/>
    <w:rsid w:val="001853D9"/>
    <w:rsid w:val="00185749"/>
    <w:rsid w:val="001859FD"/>
    <w:rsid w:val="00186FCF"/>
    <w:rsid w:val="0018752E"/>
    <w:rsid w:val="00187D12"/>
    <w:rsid w:val="00187EB2"/>
    <w:rsid w:val="00190EFE"/>
    <w:rsid w:val="00191800"/>
    <w:rsid w:val="00191C04"/>
    <w:rsid w:val="001921C3"/>
    <w:rsid w:val="00192D58"/>
    <w:rsid w:val="00193117"/>
    <w:rsid w:val="00193775"/>
    <w:rsid w:val="001943B5"/>
    <w:rsid w:val="0019471C"/>
    <w:rsid w:val="00194DB5"/>
    <w:rsid w:val="00195DD3"/>
    <w:rsid w:val="00195ED0"/>
    <w:rsid w:val="00195FFD"/>
    <w:rsid w:val="001966EA"/>
    <w:rsid w:val="0019679A"/>
    <w:rsid w:val="00196ACE"/>
    <w:rsid w:val="001977E1"/>
    <w:rsid w:val="00197B14"/>
    <w:rsid w:val="001A0B63"/>
    <w:rsid w:val="001A0D36"/>
    <w:rsid w:val="001A1DA7"/>
    <w:rsid w:val="001A2C80"/>
    <w:rsid w:val="001A2DAB"/>
    <w:rsid w:val="001A3D40"/>
    <w:rsid w:val="001A3F97"/>
    <w:rsid w:val="001A57CB"/>
    <w:rsid w:val="001A5D24"/>
    <w:rsid w:val="001A6121"/>
    <w:rsid w:val="001A703F"/>
    <w:rsid w:val="001A75B1"/>
    <w:rsid w:val="001B0026"/>
    <w:rsid w:val="001B0B98"/>
    <w:rsid w:val="001B0C37"/>
    <w:rsid w:val="001B15DF"/>
    <w:rsid w:val="001B1B7C"/>
    <w:rsid w:val="001B284B"/>
    <w:rsid w:val="001B42AB"/>
    <w:rsid w:val="001B4605"/>
    <w:rsid w:val="001B488A"/>
    <w:rsid w:val="001B4D86"/>
    <w:rsid w:val="001B594D"/>
    <w:rsid w:val="001B5F77"/>
    <w:rsid w:val="001B5F87"/>
    <w:rsid w:val="001C025C"/>
    <w:rsid w:val="001C0347"/>
    <w:rsid w:val="001C14E4"/>
    <w:rsid w:val="001C1DAC"/>
    <w:rsid w:val="001C21F3"/>
    <w:rsid w:val="001C38C2"/>
    <w:rsid w:val="001C3D1B"/>
    <w:rsid w:val="001C4A42"/>
    <w:rsid w:val="001C597F"/>
    <w:rsid w:val="001C5FED"/>
    <w:rsid w:val="001C6815"/>
    <w:rsid w:val="001C76BA"/>
    <w:rsid w:val="001D04F3"/>
    <w:rsid w:val="001D2B47"/>
    <w:rsid w:val="001D2BF9"/>
    <w:rsid w:val="001D3FDF"/>
    <w:rsid w:val="001D559C"/>
    <w:rsid w:val="001D5EBD"/>
    <w:rsid w:val="001D6664"/>
    <w:rsid w:val="001D7D83"/>
    <w:rsid w:val="001E03B5"/>
    <w:rsid w:val="001E08B2"/>
    <w:rsid w:val="001E08C8"/>
    <w:rsid w:val="001E09A7"/>
    <w:rsid w:val="001E0D0D"/>
    <w:rsid w:val="001E1C43"/>
    <w:rsid w:val="001E1CBB"/>
    <w:rsid w:val="001E1D79"/>
    <w:rsid w:val="001E2005"/>
    <w:rsid w:val="001E2A39"/>
    <w:rsid w:val="001E2C1F"/>
    <w:rsid w:val="001E3998"/>
    <w:rsid w:val="001E45DC"/>
    <w:rsid w:val="001E5C44"/>
    <w:rsid w:val="001E651A"/>
    <w:rsid w:val="001E6B37"/>
    <w:rsid w:val="001E716E"/>
    <w:rsid w:val="001E732A"/>
    <w:rsid w:val="001F0F60"/>
    <w:rsid w:val="001F1675"/>
    <w:rsid w:val="001F2865"/>
    <w:rsid w:val="001F2E59"/>
    <w:rsid w:val="001F3415"/>
    <w:rsid w:val="001F41B2"/>
    <w:rsid w:val="001F4986"/>
    <w:rsid w:val="001F4DF9"/>
    <w:rsid w:val="001F50BD"/>
    <w:rsid w:val="001F5439"/>
    <w:rsid w:val="001F571C"/>
    <w:rsid w:val="001F57E5"/>
    <w:rsid w:val="001F5844"/>
    <w:rsid w:val="001F5B46"/>
    <w:rsid w:val="001F5CAD"/>
    <w:rsid w:val="001F5D78"/>
    <w:rsid w:val="001F5FEF"/>
    <w:rsid w:val="001F666D"/>
    <w:rsid w:val="001F667F"/>
    <w:rsid w:val="001F683D"/>
    <w:rsid w:val="001F6DFD"/>
    <w:rsid w:val="001F7638"/>
    <w:rsid w:val="0020041D"/>
    <w:rsid w:val="002006B5"/>
    <w:rsid w:val="00200790"/>
    <w:rsid w:val="002016D3"/>
    <w:rsid w:val="00201821"/>
    <w:rsid w:val="00202AC3"/>
    <w:rsid w:val="00202C9C"/>
    <w:rsid w:val="00202E97"/>
    <w:rsid w:val="00203837"/>
    <w:rsid w:val="00203EA7"/>
    <w:rsid w:val="002043B6"/>
    <w:rsid w:val="00204D97"/>
    <w:rsid w:val="00205030"/>
    <w:rsid w:val="00205AA4"/>
    <w:rsid w:val="0020792B"/>
    <w:rsid w:val="00207E4E"/>
    <w:rsid w:val="002111AA"/>
    <w:rsid w:val="0021130C"/>
    <w:rsid w:val="00211818"/>
    <w:rsid w:val="00211833"/>
    <w:rsid w:val="002118BB"/>
    <w:rsid w:val="002119FA"/>
    <w:rsid w:val="002130E5"/>
    <w:rsid w:val="00214121"/>
    <w:rsid w:val="00215705"/>
    <w:rsid w:val="00215874"/>
    <w:rsid w:val="00215E6B"/>
    <w:rsid w:val="002160B3"/>
    <w:rsid w:val="0021631B"/>
    <w:rsid w:val="00216643"/>
    <w:rsid w:val="002166FA"/>
    <w:rsid w:val="002168F5"/>
    <w:rsid w:val="00216E1E"/>
    <w:rsid w:val="00216EB0"/>
    <w:rsid w:val="00217110"/>
    <w:rsid w:val="00217748"/>
    <w:rsid w:val="002211B6"/>
    <w:rsid w:val="00221C12"/>
    <w:rsid w:val="00221D46"/>
    <w:rsid w:val="00222C77"/>
    <w:rsid w:val="002235E3"/>
    <w:rsid w:val="0022490F"/>
    <w:rsid w:val="00224A39"/>
    <w:rsid w:val="00224BA8"/>
    <w:rsid w:val="00224D2F"/>
    <w:rsid w:val="00224E30"/>
    <w:rsid w:val="0022541A"/>
    <w:rsid w:val="00225819"/>
    <w:rsid w:val="0022783B"/>
    <w:rsid w:val="00227994"/>
    <w:rsid w:val="002306CE"/>
    <w:rsid w:val="0023095D"/>
    <w:rsid w:val="00230DD9"/>
    <w:rsid w:val="00231D4C"/>
    <w:rsid w:val="00233142"/>
    <w:rsid w:val="002334F1"/>
    <w:rsid w:val="00233675"/>
    <w:rsid w:val="00233C14"/>
    <w:rsid w:val="002354E4"/>
    <w:rsid w:val="0023552E"/>
    <w:rsid w:val="00235F13"/>
    <w:rsid w:val="002363FC"/>
    <w:rsid w:val="00236A66"/>
    <w:rsid w:val="00236FFF"/>
    <w:rsid w:val="0023755D"/>
    <w:rsid w:val="002376D7"/>
    <w:rsid w:val="00240045"/>
    <w:rsid w:val="002409D3"/>
    <w:rsid w:val="00241787"/>
    <w:rsid w:val="00242675"/>
    <w:rsid w:val="00243CA3"/>
    <w:rsid w:val="00243F35"/>
    <w:rsid w:val="002447C3"/>
    <w:rsid w:val="00245097"/>
    <w:rsid w:val="002455B1"/>
    <w:rsid w:val="00246071"/>
    <w:rsid w:val="00246651"/>
    <w:rsid w:val="00246664"/>
    <w:rsid w:val="00246F70"/>
    <w:rsid w:val="00247C38"/>
    <w:rsid w:val="00247C39"/>
    <w:rsid w:val="00250C1A"/>
    <w:rsid w:val="00250C95"/>
    <w:rsid w:val="002523B5"/>
    <w:rsid w:val="00252D57"/>
    <w:rsid w:val="002533D7"/>
    <w:rsid w:val="002534E3"/>
    <w:rsid w:val="00253F7F"/>
    <w:rsid w:val="00254537"/>
    <w:rsid w:val="002562E3"/>
    <w:rsid w:val="002564B6"/>
    <w:rsid w:val="002567B7"/>
    <w:rsid w:val="00257329"/>
    <w:rsid w:val="00257332"/>
    <w:rsid w:val="0026006C"/>
    <w:rsid w:val="0026029A"/>
    <w:rsid w:val="00261AA3"/>
    <w:rsid w:val="0026279D"/>
    <w:rsid w:val="00263BB4"/>
    <w:rsid w:val="002641AE"/>
    <w:rsid w:val="002649A0"/>
    <w:rsid w:val="00264FE8"/>
    <w:rsid w:val="002659B3"/>
    <w:rsid w:val="00267076"/>
    <w:rsid w:val="00267809"/>
    <w:rsid w:val="00267A8A"/>
    <w:rsid w:val="0027055E"/>
    <w:rsid w:val="00271476"/>
    <w:rsid w:val="00271BDD"/>
    <w:rsid w:val="00272075"/>
    <w:rsid w:val="0027227A"/>
    <w:rsid w:val="00273166"/>
    <w:rsid w:val="00273AB7"/>
    <w:rsid w:val="00273ACC"/>
    <w:rsid w:val="002743AD"/>
    <w:rsid w:val="00275CF0"/>
    <w:rsid w:val="002766CF"/>
    <w:rsid w:val="002767BA"/>
    <w:rsid w:val="00276A8F"/>
    <w:rsid w:val="00276BC2"/>
    <w:rsid w:val="00280BB4"/>
    <w:rsid w:val="00280E46"/>
    <w:rsid w:val="00280EF7"/>
    <w:rsid w:val="0028177B"/>
    <w:rsid w:val="00282220"/>
    <w:rsid w:val="0028279F"/>
    <w:rsid w:val="00282BFA"/>
    <w:rsid w:val="00283BF0"/>
    <w:rsid w:val="00283E37"/>
    <w:rsid w:val="00284098"/>
    <w:rsid w:val="0028421F"/>
    <w:rsid w:val="0028430E"/>
    <w:rsid w:val="00285A11"/>
    <w:rsid w:val="00285D26"/>
    <w:rsid w:val="00285D43"/>
    <w:rsid w:val="00285D52"/>
    <w:rsid w:val="0028603A"/>
    <w:rsid w:val="002865E4"/>
    <w:rsid w:val="00286C89"/>
    <w:rsid w:val="00290365"/>
    <w:rsid w:val="00290507"/>
    <w:rsid w:val="00290C9D"/>
    <w:rsid w:val="002916BD"/>
    <w:rsid w:val="00291E1A"/>
    <w:rsid w:val="00293DCC"/>
    <w:rsid w:val="00294CDB"/>
    <w:rsid w:val="00296F89"/>
    <w:rsid w:val="00297DEC"/>
    <w:rsid w:val="002A0662"/>
    <w:rsid w:val="002A22C0"/>
    <w:rsid w:val="002A2405"/>
    <w:rsid w:val="002A3106"/>
    <w:rsid w:val="002A356B"/>
    <w:rsid w:val="002A39D2"/>
    <w:rsid w:val="002A3EBD"/>
    <w:rsid w:val="002A42DD"/>
    <w:rsid w:val="002A4310"/>
    <w:rsid w:val="002A4994"/>
    <w:rsid w:val="002A57B7"/>
    <w:rsid w:val="002A632D"/>
    <w:rsid w:val="002A6657"/>
    <w:rsid w:val="002A6970"/>
    <w:rsid w:val="002A6D49"/>
    <w:rsid w:val="002A6E56"/>
    <w:rsid w:val="002A7335"/>
    <w:rsid w:val="002A75F5"/>
    <w:rsid w:val="002B0BD8"/>
    <w:rsid w:val="002B229B"/>
    <w:rsid w:val="002B38F5"/>
    <w:rsid w:val="002B4983"/>
    <w:rsid w:val="002B54FA"/>
    <w:rsid w:val="002B607C"/>
    <w:rsid w:val="002B6396"/>
    <w:rsid w:val="002B7505"/>
    <w:rsid w:val="002B798B"/>
    <w:rsid w:val="002B7CA7"/>
    <w:rsid w:val="002C08DE"/>
    <w:rsid w:val="002C0AC9"/>
    <w:rsid w:val="002C0B1E"/>
    <w:rsid w:val="002C0D81"/>
    <w:rsid w:val="002C173C"/>
    <w:rsid w:val="002C1B1E"/>
    <w:rsid w:val="002C1DEA"/>
    <w:rsid w:val="002C26FC"/>
    <w:rsid w:val="002C2C10"/>
    <w:rsid w:val="002C3AA5"/>
    <w:rsid w:val="002C4ACD"/>
    <w:rsid w:val="002C4D18"/>
    <w:rsid w:val="002C4E52"/>
    <w:rsid w:val="002C594B"/>
    <w:rsid w:val="002C5B56"/>
    <w:rsid w:val="002C7590"/>
    <w:rsid w:val="002C78D8"/>
    <w:rsid w:val="002D01E7"/>
    <w:rsid w:val="002D03DF"/>
    <w:rsid w:val="002D1E20"/>
    <w:rsid w:val="002D2A8D"/>
    <w:rsid w:val="002D2ECB"/>
    <w:rsid w:val="002D48AB"/>
    <w:rsid w:val="002D48B6"/>
    <w:rsid w:val="002D4AFD"/>
    <w:rsid w:val="002D54DE"/>
    <w:rsid w:val="002D5DC6"/>
    <w:rsid w:val="002D5DD0"/>
    <w:rsid w:val="002D5FE0"/>
    <w:rsid w:val="002D61C8"/>
    <w:rsid w:val="002D63C5"/>
    <w:rsid w:val="002D63F0"/>
    <w:rsid w:val="002D6423"/>
    <w:rsid w:val="002D65E2"/>
    <w:rsid w:val="002D67A4"/>
    <w:rsid w:val="002D6A6E"/>
    <w:rsid w:val="002D6C54"/>
    <w:rsid w:val="002E0527"/>
    <w:rsid w:val="002E22A3"/>
    <w:rsid w:val="002E2EC3"/>
    <w:rsid w:val="002E3601"/>
    <w:rsid w:val="002E3926"/>
    <w:rsid w:val="002E4825"/>
    <w:rsid w:val="002E4FB8"/>
    <w:rsid w:val="002E6021"/>
    <w:rsid w:val="002E64A2"/>
    <w:rsid w:val="002E6B88"/>
    <w:rsid w:val="002E7062"/>
    <w:rsid w:val="002F009E"/>
    <w:rsid w:val="002F00D3"/>
    <w:rsid w:val="002F29F2"/>
    <w:rsid w:val="002F2AE0"/>
    <w:rsid w:val="002F2B3C"/>
    <w:rsid w:val="002F35C7"/>
    <w:rsid w:val="002F3D4E"/>
    <w:rsid w:val="002F3DE4"/>
    <w:rsid w:val="002F4092"/>
    <w:rsid w:val="002F4557"/>
    <w:rsid w:val="002F4C6D"/>
    <w:rsid w:val="002F564C"/>
    <w:rsid w:val="002F69E2"/>
    <w:rsid w:val="002F7478"/>
    <w:rsid w:val="002F78D1"/>
    <w:rsid w:val="0030009B"/>
    <w:rsid w:val="003001FE"/>
    <w:rsid w:val="0030071B"/>
    <w:rsid w:val="00300740"/>
    <w:rsid w:val="00300932"/>
    <w:rsid w:val="00301447"/>
    <w:rsid w:val="00302716"/>
    <w:rsid w:val="00302E18"/>
    <w:rsid w:val="003045F6"/>
    <w:rsid w:val="00306533"/>
    <w:rsid w:val="00306680"/>
    <w:rsid w:val="00306AF8"/>
    <w:rsid w:val="003074D5"/>
    <w:rsid w:val="003077F6"/>
    <w:rsid w:val="00307AEE"/>
    <w:rsid w:val="00311987"/>
    <w:rsid w:val="00312560"/>
    <w:rsid w:val="00314B59"/>
    <w:rsid w:val="00315014"/>
    <w:rsid w:val="003150D0"/>
    <w:rsid w:val="00315259"/>
    <w:rsid w:val="003163E2"/>
    <w:rsid w:val="0031688B"/>
    <w:rsid w:val="00316B63"/>
    <w:rsid w:val="00316C34"/>
    <w:rsid w:val="00321054"/>
    <w:rsid w:val="00322D39"/>
    <w:rsid w:val="003230B9"/>
    <w:rsid w:val="00323AAD"/>
    <w:rsid w:val="003241F2"/>
    <w:rsid w:val="003244DF"/>
    <w:rsid w:val="003247EA"/>
    <w:rsid w:val="0032494E"/>
    <w:rsid w:val="0032497B"/>
    <w:rsid w:val="00324A6B"/>
    <w:rsid w:val="003252F7"/>
    <w:rsid w:val="00325C9D"/>
    <w:rsid w:val="003260E0"/>
    <w:rsid w:val="003261BA"/>
    <w:rsid w:val="00327750"/>
    <w:rsid w:val="003278AA"/>
    <w:rsid w:val="003307F8"/>
    <w:rsid w:val="00330879"/>
    <w:rsid w:val="00330D23"/>
    <w:rsid w:val="00330FE3"/>
    <w:rsid w:val="00331425"/>
    <w:rsid w:val="003329ED"/>
    <w:rsid w:val="00332E0B"/>
    <w:rsid w:val="0033336F"/>
    <w:rsid w:val="0033339B"/>
    <w:rsid w:val="003339EF"/>
    <w:rsid w:val="00340CA3"/>
    <w:rsid w:val="00340F7C"/>
    <w:rsid w:val="00341156"/>
    <w:rsid w:val="003417A7"/>
    <w:rsid w:val="00342335"/>
    <w:rsid w:val="003432EC"/>
    <w:rsid w:val="00343439"/>
    <w:rsid w:val="00343A6E"/>
    <w:rsid w:val="00343B9A"/>
    <w:rsid w:val="00344277"/>
    <w:rsid w:val="0034432C"/>
    <w:rsid w:val="00344391"/>
    <w:rsid w:val="00345114"/>
    <w:rsid w:val="00346B53"/>
    <w:rsid w:val="003471B7"/>
    <w:rsid w:val="00347321"/>
    <w:rsid w:val="003500D0"/>
    <w:rsid w:val="003500F5"/>
    <w:rsid w:val="00350EF7"/>
    <w:rsid w:val="00350FDB"/>
    <w:rsid w:val="0035210B"/>
    <w:rsid w:val="00353599"/>
    <w:rsid w:val="00353BE8"/>
    <w:rsid w:val="00354717"/>
    <w:rsid w:val="003548EA"/>
    <w:rsid w:val="00354918"/>
    <w:rsid w:val="00355474"/>
    <w:rsid w:val="00355675"/>
    <w:rsid w:val="00357C21"/>
    <w:rsid w:val="00361440"/>
    <w:rsid w:val="003614FA"/>
    <w:rsid w:val="003636E5"/>
    <w:rsid w:val="003637C7"/>
    <w:rsid w:val="0036386C"/>
    <w:rsid w:val="0036473F"/>
    <w:rsid w:val="00365288"/>
    <w:rsid w:val="003659B1"/>
    <w:rsid w:val="00365CD6"/>
    <w:rsid w:val="00365EF6"/>
    <w:rsid w:val="003663C8"/>
    <w:rsid w:val="003665CB"/>
    <w:rsid w:val="00366BDA"/>
    <w:rsid w:val="0036778A"/>
    <w:rsid w:val="003677FD"/>
    <w:rsid w:val="00367BE1"/>
    <w:rsid w:val="00367CCF"/>
    <w:rsid w:val="00367ECC"/>
    <w:rsid w:val="0037075D"/>
    <w:rsid w:val="0037080F"/>
    <w:rsid w:val="00371228"/>
    <w:rsid w:val="00371A1D"/>
    <w:rsid w:val="00371BF2"/>
    <w:rsid w:val="0037270E"/>
    <w:rsid w:val="00372B49"/>
    <w:rsid w:val="003734E6"/>
    <w:rsid w:val="00374078"/>
    <w:rsid w:val="003745C5"/>
    <w:rsid w:val="00374BB7"/>
    <w:rsid w:val="00374ED9"/>
    <w:rsid w:val="00374EF1"/>
    <w:rsid w:val="0037562A"/>
    <w:rsid w:val="00375C03"/>
    <w:rsid w:val="00375CF4"/>
    <w:rsid w:val="00376714"/>
    <w:rsid w:val="003775EE"/>
    <w:rsid w:val="0038030C"/>
    <w:rsid w:val="00380626"/>
    <w:rsid w:val="0038098E"/>
    <w:rsid w:val="0038202B"/>
    <w:rsid w:val="00382B81"/>
    <w:rsid w:val="003831CB"/>
    <w:rsid w:val="003835B1"/>
    <w:rsid w:val="00385C55"/>
    <w:rsid w:val="003911E6"/>
    <w:rsid w:val="00391679"/>
    <w:rsid w:val="0039198F"/>
    <w:rsid w:val="00391E5E"/>
    <w:rsid w:val="0039315D"/>
    <w:rsid w:val="00393622"/>
    <w:rsid w:val="00394116"/>
    <w:rsid w:val="003951B9"/>
    <w:rsid w:val="00395213"/>
    <w:rsid w:val="0039619B"/>
    <w:rsid w:val="003972E6"/>
    <w:rsid w:val="00397540"/>
    <w:rsid w:val="00397A0D"/>
    <w:rsid w:val="003A013F"/>
    <w:rsid w:val="003A0268"/>
    <w:rsid w:val="003A1027"/>
    <w:rsid w:val="003A17E9"/>
    <w:rsid w:val="003A2EE0"/>
    <w:rsid w:val="003A3113"/>
    <w:rsid w:val="003A3378"/>
    <w:rsid w:val="003A3BEF"/>
    <w:rsid w:val="003A5905"/>
    <w:rsid w:val="003A6091"/>
    <w:rsid w:val="003A64B0"/>
    <w:rsid w:val="003A686F"/>
    <w:rsid w:val="003A690A"/>
    <w:rsid w:val="003B0234"/>
    <w:rsid w:val="003B097D"/>
    <w:rsid w:val="003B1349"/>
    <w:rsid w:val="003B177F"/>
    <w:rsid w:val="003B2622"/>
    <w:rsid w:val="003B266E"/>
    <w:rsid w:val="003B352E"/>
    <w:rsid w:val="003B39C1"/>
    <w:rsid w:val="003B41A1"/>
    <w:rsid w:val="003B52CD"/>
    <w:rsid w:val="003B5711"/>
    <w:rsid w:val="003B5FAE"/>
    <w:rsid w:val="003B6097"/>
    <w:rsid w:val="003C0839"/>
    <w:rsid w:val="003C0F51"/>
    <w:rsid w:val="003C126A"/>
    <w:rsid w:val="003C16D6"/>
    <w:rsid w:val="003C1C5A"/>
    <w:rsid w:val="003C2398"/>
    <w:rsid w:val="003C36C7"/>
    <w:rsid w:val="003C4820"/>
    <w:rsid w:val="003C5C4C"/>
    <w:rsid w:val="003C632E"/>
    <w:rsid w:val="003C6B1F"/>
    <w:rsid w:val="003C7A78"/>
    <w:rsid w:val="003D0054"/>
    <w:rsid w:val="003D0975"/>
    <w:rsid w:val="003D1171"/>
    <w:rsid w:val="003D1CFA"/>
    <w:rsid w:val="003D1E8C"/>
    <w:rsid w:val="003D2A20"/>
    <w:rsid w:val="003D4497"/>
    <w:rsid w:val="003D4542"/>
    <w:rsid w:val="003D4BEB"/>
    <w:rsid w:val="003D4CA7"/>
    <w:rsid w:val="003D4E48"/>
    <w:rsid w:val="003D51B0"/>
    <w:rsid w:val="003D522D"/>
    <w:rsid w:val="003D5CDF"/>
    <w:rsid w:val="003D6098"/>
    <w:rsid w:val="003D7FE3"/>
    <w:rsid w:val="003E01D0"/>
    <w:rsid w:val="003E04C8"/>
    <w:rsid w:val="003E330B"/>
    <w:rsid w:val="003E355B"/>
    <w:rsid w:val="003E58FF"/>
    <w:rsid w:val="003E5CA8"/>
    <w:rsid w:val="003E5F22"/>
    <w:rsid w:val="003E735F"/>
    <w:rsid w:val="003F04A1"/>
    <w:rsid w:val="003F0AE9"/>
    <w:rsid w:val="003F0ED7"/>
    <w:rsid w:val="003F17D9"/>
    <w:rsid w:val="003F1C58"/>
    <w:rsid w:val="003F34B2"/>
    <w:rsid w:val="003F39F2"/>
    <w:rsid w:val="003F40D7"/>
    <w:rsid w:val="003F4188"/>
    <w:rsid w:val="003F4676"/>
    <w:rsid w:val="003F4986"/>
    <w:rsid w:val="003F55D8"/>
    <w:rsid w:val="003F59EB"/>
    <w:rsid w:val="003F62C6"/>
    <w:rsid w:val="003F777C"/>
    <w:rsid w:val="0040076F"/>
    <w:rsid w:val="00401496"/>
    <w:rsid w:val="004017D4"/>
    <w:rsid w:val="00402109"/>
    <w:rsid w:val="00402303"/>
    <w:rsid w:val="0040241C"/>
    <w:rsid w:val="004025D6"/>
    <w:rsid w:val="0040291D"/>
    <w:rsid w:val="00403252"/>
    <w:rsid w:val="004041B4"/>
    <w:rsid w:val="00404FEF"/>
    <w:rsid w:val="0040615B"/>
    <w:rsid w:val="0040799E"/>
    <w:rsid w:val="0041008E"/>
    <w:rsid w:val="004107DE"/>
    <w:rsid w:val="00412499"/>
    <w:rsid w:val="00414417"/>
    <w:rsid w:val="00414A65"/>
    <w:rsid w:val="00414C4B"/>
    <w:rsid w:val="00415DC6"/>
    <w:rsid w:val="00416433"/>
    <w:rsid w:val="00416541"/>
    <w:rsid w:val="004169D1"/>
    <w:rsid w:val="004172EB"/>
    <w:rsid w:val="00417C68"/>
    <w:rsid w:val="00417FBC"/>
    <w:rsid w:val="00420E86"/>
    <w:rsid w:val="00421A98"/>
    <w:rsid w:val="00421B43"/>
    <w:rsid w:val="00421F4C"/>
    <w:rsid w:val="00422593"/>
    <w:rsid w:val="00422680"/>
    <w:rsid w:val="00422A21"/>
    <w:rsid w:val="00422A46"/>
    <w:rsid w:val="004231B2"/>
    <w:rsid w:val="00423757"/>
    <w:rsid w:val="00423C9F"/>
    <w:rsid w:val="00423DDA"/>
    <w:rsid w:val="00423F7E"/>
    <w:rsid w:val="0042491D"/>
    <w:rsid w:val="00424922"/>
    <w:rsid w:val="00424DBE"/>
    <w:rsid w:val="00425220"/>
    <w:rsid w:val="00425233"/>
    <w:rsid w:val="00425697"/>
    <w:rsid w:val="0042608E"/>
    <w:rsid w:val="004263E2"/>
    <w:rsid w:val="00426684"/>
    <w:rsid w:val="00426F42"/>
    <w:rsid w:val="004273E2"/>
    <w:rsid w:val="00427464"/>
    <w:rsid w:val="0043080E"/>
    <w:rsid w:val="00430DCF"/>
    <w:rsid w:val="00431150"/>
    <w:rsid w:val="00431B7D"/>
    <w:rsid w:val="00433EB1"/>
    <w:rsid w:val="004342EE"/>
    <w:rsid w:val="004351C7"/>
    <w:rsid w:val="00436E32"/>
    <w:rsid w:val="00437D40"/>
    <w:rsid w:val="00440542"/>
    <w:rsid w:val="004424C9"/>
    <w:rsid w:val="00443203"/>
    <w:rsid w:val="00443280"/>
    <w:rsid w:val="00443C0F"/>
    <w:rsid w:val="00443C42"/>
    <w:rsid w:val="00443F69"/>
    <w:rsid w:val="0044405D"/>
    <w:rsid w:val="004441DC"/>
    <w:rsid w:val="004443A6"/>
    <w:rsid w:val="004445D9"/>
    <w:rsid w:val="0044553B"/>
    <w:rsid w:val="004468FE"/>
    <w:rsid w:val="0045071E"/>
    <w:rsid w:val="00450999"/>
    <w:rsid w:val="00450A34"/>
    <w:rsid w:val="00450D06"/>
    <w:rsid w:val="00451266"/>
    <w:rsid w:val="00451AE8"/>
    <w:rsid w:val="00451DDB"/>
    <w:rsid w:val="00452690"/>
    <w:rsid w:val="00453373"/>
    <w:rsid w:val="00453A73"/>
    <w:rsid w:val="00453EAA"/>
    <w:rsid w:val="004547EE"/>
    <w:rsid w:val="00455519"/>
    <w:rsid w:val="004555A1"/>
    <w:rsid w:val="00456BA0"/>
    <w:rsid w:val="0045751C"/>
    <w:rsid w:val="004601D9"/>
    <w:rsid w:val="00460351"/>
    <w:rsid w:val="00460957"/>
    <w:rsid w:val="00460E77"/>
    <w:rsid w:val="00461891"/>
    <w:rsid w:val="00462109"/>
    <w:rsid w:val="00462B64"/>
    <w:rsid w:val="00462C40"/>
    <w:rsid w:val="00463469"/>
    <w:rsid w:val="00463AD9"/>
    <w:rsid w:val="00463BB6"/>
    <w:rsid w:val="00463EA8"/>
    <w:rsid w:val="004645DD"/>
    <w:rsid w:val="00464609"/>
    <w:rsid w:val="00464668"/>
    <w:rsid w:val="004664D3"/>
    <w:rsid w:val="00466A26"/>
    <w:rsid w:val="00466DAD"/>
    <w:rsid w:val="00467261"/>
    <w:rsid w:val="00467C81"/>
    <w:rsid w:val="004709C9"/>
    <w:rsid w:val="00470D1D"/>
    <w:rsid w:val="00470DB6"/>
    <w:rsid w:val="00472156"/>
    <w:rsid w:val="0047300F"/>
    <w:rsid w:val="00473125"/>
    <w:rsid w:val="00473A95"/>
    <w:rsid w:val="004749B0"/>
    <w:rsid w:val="004753DB"/>
    <w:rsid w:val="004768BB"/>
    <w:rsid w:val="0047771F"/>
    <w:rsid w:val="004777CC"/>
    <w:rsid w:val="00477BEB"/>
    <w:rsid w:val="0048068D"/>
    <w:rsid w:val="00480BFE"/>
    <w:rsid w:val="004813F4"/>
    <w:rsid w:val="00481A39"/>
    <w:rsid w:val="0048282F"/>
    <w:rsid w:val="00482D4A"/>
    <w:rsid w:val="00483B59"/>
    <w:rsid w:val="00483F7E"/>
    <w:rsid w:val="004841AD"/>
    <w:rsid w:val="004843D1"/>
    <w:rsid w:val="00484BDD"/>
    <w:rsid w:val="00485864"/>
    <w:rsid w:val="00485F3A"/>
    <w:rsid w:val="00486872"/>
    <w:rsid w:val="004869E6"/>
    <w:rsid w:val="00487C17"/>
    <w:rsid w:val="0049007C"/>
    <w:rsid w:val="00490960"/>
    <w:rsid w:val="00491B7B"/>
    <w:rsid w:val="004925D6"/>
    <w:rsid w:val="0049304A"/>
    <w:rsid w:val="00493424"/>
    <w:rsid w:val="0049345D"/>
    <w:rsid w:val="00494105"/>
    <w:rsid w:val="004950DB"/>
    <w:rsid w:val="00495334"/>
    <w:rsid w:val="00495787"/>
    <w:rsid w:val="00495A3A"/>
    <w:rsid w:val="00495BE5"/>
    <w:rsid w:val="004966F5"/>
    <w:rsid w:val="0049724B"/>
    <w:rsid w:val="00497665"/>
    <w:rsid w:val="004A26BC"/>
    <w:rsid w:val="004A481D"/>
    <w:rsid w:val="004A4B16"/>
    <w:rsid w:val="004A4C68"/>
    <w:rsid w:val="004A5AF8"/>
    <w:rsid w:val="004A6029"/>
    <w:rsid w:val="004A606F"/>
    <w:rsid w:val="004A6F49"/>
    <w:rsid w:val="004A71FD"/>
    <w:rsid w:val="004A740C"/>
    <w:rsid w:val="004A7B65"/>
    <w:rsid w:val="004A7F40"/>
    <w:rsid w:val="004B00D4"/>
    <w:rsid w:val="004B0198"/>
    <w:rsid w:val="004B0B56"/>
    <w:rsid w:val="004B1218"/>
    <w:rsid w:val="004B195B"/>
    <w:rsid w:val="004B1C83"/>
    <w:rsid w:val="004B2D01"/>
    <w:rsid w:val="004B37A2"/>
    <w:rsid w:val="004B3C07"/>
    <w:rsid w:val="004B3DDD"/>
    <w:rsid w:val="004B3F07"/>
    <w:rsid w:val="004B406F"/>
    <w:rsid w:val="004B4328"/>
    <w:rsid w:val="004B4965"/>
    <w:rsid w:val="004B4F75"/>
    <w:rsid w:val="004B501D"/>
    <w:rsid w:val="004B5037"/>
    <w:rsid w:val="004B588A"/>
    <w:rsid w:val="004B5ABE"/>
    <w:rsid w:val="004B5ACE"/>
    <w:rsid w:val="004B610B"/>
    <w:rsid w:val="004B6EC4"/>
    <w:rsid w:val="004B73AD"/>
    <w:rsid w:val="004B76D8"/>
    <w:rsid w:val="004B76D9"/>
    <w:rsid w:val="004B7DDD"/>
    <w:rsid w:val="004C051C"/>
    <w:rsid w:val="004C1032"/>
    <w:rsid w:val="004C2481"/>
    <w:rsid w:val="004C2B69"/>
    <w:rsid w:val="004C342E"/>
    <w:rsid w:val="004C3AFA"/>
    <w:rsid w:val="004C432F"/>
    <w:rsid w:val="004C4A7A"/>
    <w:rsid w:val="004C5EF0"/>
    <w:rsid w:val="004C609D"/>
    <w:rsid w:val="004C6A7E"/>
    <w:rsid w:val="004C6B4A"/>
    <w:rsid w:val="004C6C31"/>
    <w:rsid w:val="004D022A"/>
    <w:rsid w:val="004D13FD"/>
    <w:rsid w:val="004D19F1"/>
    <w:rsid w:val="004D2011"/>
    <w:rsid w:val="004D27D8"/>
    <w:rsid w:val="004D2B89"/>
    <w:rsid w:val="004D3958"/>
    <w:rsid w:val="004D3BBA"/>
    <w:rsid w:val="004D46CA"/>
    <w:rsid w:val="004D47D6"/>
    <w:rsid w:val="004D5296"/>
    <w:rsid w:val="004D5A92"/>
    <w:rsid w:val="004D5CE9"/>
    <w:rsid w:val="004D5F2C"/>
    <w:rsid w:val="004D71F3"/>
    <w:rsid w:val="004D7418"/>
    <w:rsid w:val="004D76C3"/>
    <w:rsid w:val="004D7FF5"/>
    <w:rsid w:val="004E240C"/>
    <w:rsid w:val="004E2471"/>
    <w:rsid w:val="004E24F4"/>
    <w:rsid w:val="004E2A16"/>
    <w:rsid w:val="004E3A05"/>
    <w:rsid w:val="004E4959"/>
    <w:rsid w:val="004E5B47"/>
    <w:rsid w:val="004E62E8"/>
    <w:rsid w:val="004E6611"/>
    <w:rsid w:val="004E666A"/>
    <w:rsid w:val="004E6806"/>
    <w:rsid w:val="004E7849"/>
    <w:rsid w:val="004E7C4E"/>
    <w:rsid w:val="004E7CB8"/>
    <w:rsid w:val="004F0A69"/>
    <w:rsid w:val="004F1A85"/>
    <w:rsid w:val="004F1EA8"/>
    <w:rsid w:val="004F2CCD"/>
    <w:rsid w:val="004F321F"/>
    <w:rsid w:val="004F387F"/>
    <w:rsid w:val="004F51C3"/>
    <w:rsid w:val="004F5207"/>
    <w:rsid w:val="004F56A7"/>
    <w:rsid w:val="004F5D62"/>
    <w:rsid w:val="004F60BE"/>
    <w:rsid w:val="004F7B72"/>
    <w:rsid w:val="00500240"/>
    <w:rsid w:val="005006F8"/>
    <w:rsid w:val="00502444"/>
    <w:rsid w:val="005029EF"/>
    <w:rsid w:val="005031F5"/>
    <w:rsid w:val="005038F3"/>
    <w:rsid w:val="00503FCC"/>
    <w:rsid w:val="00504AD2"/>
    <w:rsid w:val="0050574B"/>
    <w:rsid w:val="00506946"/>
    <w:rsid w:val="00507934"/>
    <w:rsid w:val="005100D7"/>
    <w:rsid w:val="00510785"/>
    <w:rsid w:val="00511F9D"/>
    <w:rsid w:val="00512A7D"/>
    <w:rsid w:val="00513090"/>
    <w:rsid w:val="00513B9D"/>
    <w:rsid w:val="00513D33"/>
    <w:rsid w:val="00514916"/>
    <w:rsid w:val="00515401"/>
    <w:rsid w:val="00516185"/>
    <w:rsid w:val="005164D7"/>
    <w:rsid w:val="00516657"/>
    <w:rsid w:val="00517BB8"/>
    <w:rsid w:val="00517BE4"/>
    <w:rsid w:val="00517C36"/>
    <w:rsid w:val="00521587"/>
    <w:rsid w:val="00521618"/>
    <w:rsid w:val="00521A54"/>
    <w:rsid w:val="00522B71"/>
    <w:rsid w:val="00522B99"/>
    <w:rsid w:val="00522FFB"/>
    <w:rsid w:val="00524088"/>
    <w:rsid w:val="00525502"/>
    <w:rsid w:val="00525EE2"/>
    <w:rsid w:val="00525F4C"/>
    <w:rsid w:val="005267D5"/>
    <w:rsid w:val="0052784C"/>
    <w:rsid w:val="00530AEE"/>
    <w:rsid w:val="00530B01"/>
    <w:rsid w:val="00530C33"/>
    <w:rsid w:val="005319D0"/>
    <w:rsid w:val="00532306"/>
    <w:rsid w:val="00532D19"/>
    <w:rsid w:val="00535847"/>
    <w:rsid w:val="00535B21"/>
    <w:rsid w:val="00540A63"/>
    <w:rsid w:val="00540C36"/>
    <w:rsid w:val="00540F65"/>
    <w:rsid w:val="005410F6"/>
    <w:rsid w:val="00541408"/>
    <w:rsid w:val="00541626"/>
    <w:rsid w:val="005416BE"/>
    <w:rsid w:val="0054208D"/>
    <w:rsid w:val="00542688"/>
    <w:rsid w:val="00543FF2"/>
    <w:rsid w:val="005442C5"/>
    <w:rsid w:val="0054456F"/>
    <w:rsid w:val="005445D2"/>
    <w:rsid w:val="005447EF"/>
    <w:rsid w:val="00544D8F"/>
    <w:rsid w:val="00544E2B"/>
    <w:rsid w:val="00545E48"/>
    <w:rsid w:val="0054693D"/>
    <w:rsid w:val="00546986"/>
    <w:rsid w:val="00546BDA"/>
    <w:rsid w:val="005473D2"/>
    <w:rsid w:val="00547B6E"/>
    <w:rsid w:val="005502EF"/>
    <w:rsid w:val="0055042D"/>
    <w:rsid w:val="00550B6E"/>
    <w:rsid w:val="00550E67"/>
    <w:rsid w:val="00553295"/>
    <w:rsid w:val="005537AC"/>
    <w:rsid w:val="00553DA8"/>
    <w:rsid w:val="0055405E"/>
    <w:rsid w:val="00554519"/>
    <w:rsid w:val="00554C02"/>
    <w:rsid w:val="00555036"/>
    <w:rsid w:val="00555F40"/>
    <w:rsid w:val="00556AD6"/>
    <w:rsid w:val="00556F22"/>
    <w:rsid w:val="00557256"/>
    <w:rsid w:val="00557365"/>
    <w:rsid w:val="0055753E"/>
    <w:rsid w:val="00562884"/>
    <w:rsid w:val="0056288E"/>
    <w:rsid w:val="00563184"/>
    <w:rsid w:val="00563494"/>
    <w:rsid w:val="00564DD2"/>
    <w:rsid w:val="0056541F"/>
    <w:rsid w:val="00565826"/>
    <w:rsid w:val="00565868"/>
    <w:rsid w:val="00567401"/>
    <w:rsid w:val="00567E5B"/>
    <w:rsid w:val="00567EF7"/>
    <w:rsid w:val="0057033E"/>
    <w:rsid w:val="00570CCF"/>
    <w:rsid w:val="0057226B"/>
    <w:rsid w:val="00572513"/>
    <w:rsid w:val="00574344"/>
    <w:rsid w:val="00574614"/>
    <w:rsid w:val="00574B1D"/>
    <w:rsid w:val="00575AA2"/>
    <w:rsid w:val="00575D98"/>
    <w:rsid w:val="00576FE4"/>
    <w:rsid w:val="00577297"/>
    <w:rsid w:val="00577398"/>
    <w:rsid w:val="005774CC"/>
    <w:rsid w:val="00577888"/>
    <w:rsid w:val="0057791D"/>
    <w:rsid w:val="00577DD5"/>
    <w:rsid w:val="0058167A"/>
    <w:rsid w:val="005818B1"/>
    <w:rsid w:val="0058198B"/>
    <w:rsid w:val="005819FD"/>
    <w:rsid w:val="00581CCE"/>
    <w:rsid w:val="0058212A"/>
    <w:rsid w:val="00582563"/>
    <w:rsid w:val="00582C8B"/>
    <w:rsid w:val="00582F0B"/>
    <w:rsid w:val="005834DB"/>
    <w:rsid w:val="00583BF7"/>
    <w:rsid w:val="005847D3"/>
    <w:rsid w:val="00584B51"/>
    <w:rsid w:val="0058580B"/>
    <w:rsid w:val="00585AF7"/>
    <w:rsid w:val="00585D3D"/>
    <w:rsid w:val="005873D9"/>
    <w:rsid w:val="005875B1"/>
    <w:rsid w:val="00587DE1"/>
    <w:rsid w:val="0059091B"/>
    <w:rsid w:val="00592972"/>
    <w:rsid w:val="00593475"/>
    <w:rsid w:val="0059427F"/>
    <w:rsid w:val="00595336"/>
    <w:rsid w:val="0059538E"/>
    <w:rsid w:val="005966E8"/>
    <w:rsid w:val="005A1FF1"/>
    <w:rsid w:val="005A26F9"/>
    <w:rsid w:val="005A3AEE"/>
    <w:rsid w:val="005A4288"/>
    <w:rsid w:val="005A42D9"/>
    <w:rsid w:val="005A4309"/>
    <w:rsid w:val="005A4A36"/>
    <w:rsid w:val="005A50B5"/>
    <w:rsid w:val="005A62A2"/>
    <w:rsid w:val="005A674A"/>
    <w:rsid w:val="005A6E4F"/>
    <w:rsid w:val="005A7022"/>
    <w:rsid w:val="005A7205"/>
    <w:rsid w:val="005A7353"/>
    <w:rsid w:val="005B0975"/>
    <w:rsid w:val="005B0B41"/>
    <w:rsid w:val="005B0DBD"/>
    <w:rsid w:val="005B19F6"/>
    <w:rsid w:val="005B1C15"/>
    <w:rsid w:val="005B2DCC"/>
    <w:rsid w:val="005B32DD"/>
    <w:rsid w:val="005B3600"/>
    <w:rsid w:val="005B4517"/>
    <w:rsid w:val="005B4710"/>
    <w:rsid w:val="005B4867"/>
    <w:rsid w:val="005B502A"/>
    <w:rsid w:val="005B51DA"/>
    <w:rsid w:val="005B655D"/>
    <w:rsid w:val="005C08A3"/>
    <w:rsid w:val="005C0CEE"/>
    <w:rsid w:val="005C0DAF"/>
    <w:rsid w:val="005C12C1"/>
    <w:rsid w:val="005C1B83"/>
    <w:rsid w:val="005C1E15"/>
    <w:rsid w:val="005C1F99"/>
    <w:rsid w:val="005C2773"/>
    <w:rsid w:val="005C2C1E"/>
    <w:rsid w:val="005C3889"/>
    <w:rsid w:val="005C44B8"/>
    <w:rsid w:val="005C5359"/>
    <w:rsid w:val="005C5E6B"/>
    <w:rsid w:val="005C6852"/>
    <w:rsid w:val="005C7706"/>
    <w:rsid w:val="005C7C83"/>
    <w:rsid w:val="005D0F67"/>
    <w:rsid w:val="005D2DBD"/>
    <w:rsid w:val="005D6C6B"/>
    <w:rsid w:val="005D74F4"/>
    <w:rsid w:val="005D7EC3"/>
    <w:rsid w:val="005E0FB7"/>
    <w:rsid w:val="005E1176"/>
    <w:rsid w:val="005E1D9B"/>
    <w:rsid w:val="005E1ED5"/>
    <w:rsid w:val="005E31D5"/>
    <w:rsid w:val="005E3726"/>
    <w:rsid w:val="005E3A29"/>
    <w:rsid w:val="005E3FB1"/>
    <w:rsid w:val="005E4AFF"/>
    <w:rsid w:val="005E67A2"/>
    <w:rsid w:val="005E6E1E"/>
    <w:rsid w:val="005E714F"/>
    <w:rsid w:val="005E7E4B"/>
    <w:rsid w:val="005F01B9"/>
    <w:rsid w:val="005F0D14"/>
    <w:rsid w:val="005F173C"/>
    <w:rsid w:val="005F1B52"/>
    <w:rsid w:val="005F2588"/>
    <w:rsid w:val="005F25E1"/>
    <w:rsid w:val="005F29D5"/>
    <w:rsid w:val="005F325E"/>
    <w:rsid w:val="005F34C0"/>
    <w:rsid w:val="005F37B4"/>
    <w:rsid w:val="005F3FE3"/>
    <w:rsid w:val="005F4F3C"/>
    <w:rsid w:val="005F5758"/>
    <w:rsid w:val="005F618B"/>
    <w:rsid w:val="005F6203"/>
    <w:rsid w:val="005F6214"/>
    <w:rsid w:val="005F73F6"/>
    <w:rsid w:val="006004D0"/>
    <w:rsid w:val="00600BDC"/>
    <w:rsid w:val="00600C84"/>
    <w:rsid w:val="00600D61"/>
    <w:rsid w:val="006013A3"/>
    <w:rsid w:val="006038E6"/>
    <w:rsid w:val="00603AB4"/>
    <w:rsid w:val="00603C33"/>
    <w:rsid w:val="00604156"/>
    <w:rsid w:val="00604435"/>
    <w:rsid w:val="006048B8"/>
    <w:rsid w:val="006053D8"/>
    <w:rsid w:val="00605C90"/>
    <w:rsid w:val="006063C6"/>
    <w:rsid w:val="0060757D"/>
    <w:rsid w:val="00607CCB"/>
    <w:rsid w:val="00607FD8"/>
    <w:rsid w:val="006101AC"/>
    <w:rsid w:val="006118A6"/>
    <w:rsid w:val="00611F26"/>
    <w:rsid w:val="006125CF"/>
    <w:rsid w:val="00612DBE"/>
    <w:rsid w:val="0061359D"/>
    <w:rsid w:val="006136DD"/>
    <w:rsid w:val="00613B52"/>
    <w:rsid w:val="00613CBE"/>
    <w:rsid w:val="00614375"/>
    <w:rsid w:val="00614621"/>
    <w:rsid w:val="006149E8"/>
    <w:rsid w:val="006156CB"/>
    <w:rsid w:val="0061577A"/>
    <w:rsid w:val="0061580E"/>
    <w:rsid w:val="00615D03"/>
    <w:rsid w:val="006177C5"/>
    <w:rsid w:val="00617ED4"/>
    <w:rsid w:val="00617F35"/>
    <w:rsid w:val="00620869"/>
    <w:rsid w:val="00620AF5"/>
    <w:rsid w:val="00620B89"/>
    <w:rsid w:val="00620C7D"/>
    <w:rsid w:val="00620E59"/>
    <w:rsid w:val="006215B9"/>
    <w:rsid w:val="0062221F"/>
    <w:rsid w:val="0062238A"/>
    <w:rsid w:val="00622ABA"/>
    <w:rsid w:val="0062387A"/>
    <w:rsid w:val="00623F3A"/>
    <w:rsid w:val="00624420"/>
    <w:rsid w:val="0062479E"/>
    <w:rsid w:val="00624EC1"/>
    <w:rsid w:val="00625BA0"/>
    <w:rsid w:val="006262A7"/>
    <w:rsid w:val="00626743"/>
    <w:rsid w:val="00627204"/>
    <w:rsid w:val="0062756B"/>
    <w:rsid w:val="0062785D"/>
    <w:rsid w:val="006278FD"/>
    <w:rsid w:val="006305B8"/>
    <w:rsid w:val="00631317"/>
    <w:rsid w:val="00631775"/>
    <w:rsid w:val="00633783"/>
    <w:rsid w:val="006337AA"/>
    <w:rsid w:val="00633CE1"/>
    <w:rsid w:val="0063401C"/>
    <w:rsid w:val="00634157"/>
    <w:rsid w:val="00634F3E"/>
    <w:rsid w:val="006357E9"/>
    <w:rsid w:val="00636473"/>
    <w:rsid w:val="006364D9"/>
    <w:rsid w:val="00636946"/>
    <w:rsid w:val="00636CB8"/>
    <w:rsid w:val="00636DCF"/>
    <w:rsid w:val="00637DA7"/>
    <w:rsid w:val="00637F2F"/>
    <w:rsid w:val="00640AC0"/>
    <w:rsid w:val="00640FC6"/>
    <w:rsid w:val="00641593"/>
    <w:rsid w:val="006419E3"/>
    <w:rsid w:val="00642125"/>
    <w:rsid w:val="00642931"/>
    <w:rsid w:val="00642BBE"/>
    <w:rsid w:val="00642FC7"/>
    <w:rsid w:val="00644120"/>
    <w:rsid w:val="006443B4"/>
    <w:rsid w:val="00645286"/>
    <w:rsid w:val="00646710"/>
    <w:rsid w:val="00646A92"/>
    <w:rsid w:val="006471E0"/>
    <w:rsid w:val="006475D1"/>
    <w:rsid w:val="006476FE"/>
    <w:rsid w:val="006478CD"/>
    <w:rsid w:val="00650DA7"/>
    <w:rsid w:val="006510B8"/>
    <w:rsid w:val="0065165E"/>
    <w:rsid w:val="00652653"/>
    <w:rsid w:val="00652DA4"/>
    <w:rsid w:val="00652DB8"/>
    <w:rsid w:val="0065339B"/>
    <w:rsid w:val="00653621"/>
    <w:rsid w:val="00653A07"/>
    <w:rsid w:val="0065412D"/>
    <w:rsid w:val="00654694"/>
    <w:rsid w:val="006560F6"/>
    <w:rsid w:val="00656A95"/>
    <w:rsid w:val="006577F7"/>
    <w:rsid w:val="00657A4E"/>
    <w:rsid w:val="00657FEB"/>
    <w:rsid w:val="00660A97"/>
    <w:rsid w:val="00662149"/>
    <w:rsid w:val="00662DBD"/>
    <w:rsid w:val="0066303C"/>
    <w:rsid w:val="006642AA"/>
    <w:rsid w:val="00664BD5"/>
    <w:rsid w:val="00664F6F"/>
    <w:rsid w:val="00665025"/>
    <w:rsid w:val="00665BF5"/>
    <w:rsid w:val="0066631C"/>
    <w:rsid w:val="00666BE3"/>
    <w:rsid w:val="00670288"/>
    <w:rsid w:val="006702AD"/>
    <w:rsid w:val="00670908"/>
    <w:rsid w:val="0067156F"/>
    <w:rsid w:val="006728E6"/>
    <w:rsid w:val="00673E8F"/>
    <w:rsid w:val="00674EA9"/>
    <w:rsid w:val="006751C2"/>
    <w:rsid w:val="0067611C"/>
    <w:rsid w:val="00676168"/>
    <w:rsid w:val="0067656E"/>
    <w:rsid w:val="00676F12"/>
    <w:rsid w:val="0067712D"/>
    <w:rsid w:val="006772FB"/>
    <w:rsid w:val="00677CB9"/>
    <w:rsid w:val="00677DBC"/>
    <w:rsid w:val="0068068C"/>
    <w:rsid w:val="00680D07"/>
    <w:rsid w:val="00681B8C"/>
    <w:rsid w:val="00681C9F"/>
    <w:rsid w:val="00682C86"/>
    <w:rsid w:val="006831B7"/>
    <w:rsid w:val="00684238"/>
    <w:rsid w:val="0068428C"/>
    <w:rsid w:val="0068460E"/>
    <w:rsid w:val="00684676"/>
    <w:rsid w:val="0068667B"/>
    <w:rsid w:val="00687286"/>
    <w:rsid w:val="00690522"/>
    <w:rsid w:val="006906E3"/>
    <w:rsid w:val="00691079"/>
    <w:rsid w:val="00692F98"/>
    <w:rsid w:val="006938E2"/>
    <w:rsid w:val="0069467A"/>
    <w:rsid w:val="00695484"/>
    <w:rsid w:val="0069566D"/>
    <w:rsid w:val="00696BA4"/>
    <w:rsid w:val="00697274"/>
    <w:rsid w:val="00697B90"/>
    <w:rsid w:val="006A0000"/>
    <w:rsid w:val="006A01F8"/>
    <w:rsid w:val="006A1243"/>
    <w:rsid w:val="006A1471"/>
    <w:rsid w:val="006A289A"/>
    <w:rsid w:val="006A2E23"/>
    <w:rsid w:val="006A3AFE"/>
    <w:rsid w:val="006A48BF"/>
    <w:rsid w:val="006A5213"/>
    <w:rsid w:val="006A541D"/>
    <w:rsid w:val="006A544A"/>
    <w:rsid w:val="006A680A"/>
    <w:rsid w:val="006A6874"/>
    <w:rsid w:val="006A6882"/>
    <w:rsid w:val="006A7A41"/>
    <w:rsid w:val="006A7A53"/>
    <w:rsid w:val="006B0440"/>
    <w:rsid w:val="006B06D3"/>
    <w:rsid w:val="006B1498"/>
    <w:rsid w:val="006B256D"/>
    <w:rsid w:val="006B27FC"/>
    <w:rsid w:val="006B367B"/>
    <w:rsid w:val="006B4A43"/>
    <w:rsid w:val="006B5597"/>
    <w:rsid w:val="006B5773"/>
    <w:rsid w:val="006B5A0F"/>
    <w:rsid w:val="006B6690"/>
    <w:rsid w:val="006B7440"/>
    <w:rsid w:val="006B7AC2"/>
    <w:rsid w:val="006C0309"/>
    <w:rsid w:val="006C1559"/>
    <w:rsid w:val="006C1A56"/>
    <w:rsid w:val="006C2F93"/>
    <w:rsid w:val="006C49D2"/>
    <w:rsid w:val="006C4BA2"/>
    <w:rsid w:val="006C4BB7"/>
    <w:rsid w:val="006C5299"/>
    <w:rsid w:val="006C63A7"/>
    <w:rsid w:val="006C76EC"/>
    <w:rsid w:val="006D021D"/>
    <w:rsid w:val="006D1E35"/>
    <w:rsid w:val="006D2313"/>
    <w:rsid w:val="006D29FA"/>
    <w:rsid w:val="006D2A4A"/>
    <w:rsid w:val="006D2B8C"/>
    <w:rsid w:val="006D2BA0"/>
    <w:rsid w:val="006D3A1F"/>
    <w:rsid w:val="006D3C75"/>
    <w:rsid w:val="006D4D06"/>
    <w:rsid w:val="006D5685"/>
    <w:rsid w:val="006D58E7"/>
    <w:rsid w:val="006D5963"/>
    <w:rsid w:val="006D6037"/>
    <w:rsid w:val="006D646D"/>
    <w:rsid w:val="006D6745"/>
    <w:rsid w:val="006D6CA1"/>
    <w:rsid w:val="006E02D9"/>
    <w:rsid w:val="006E1ABA"/>
    <w:rsid w:val="006E1CD0"/>
    <w:rsid w:val="006E1D7B"/>
    <w:rsid w:val="006E3364"/>
    <w:rsid w:val="006E342A"/>
    <w:rsid w:val="006E3655"/>
    <w:rsid w:val="006E41D9"/>
    <w:rsid w:val="006E4EBC"/>
    <w:rsid w:val="006E644A"/>
    <w:rsid w:val="006E6952"/>
    <w:rsid w:val="006E73ED"/>
    <w:rsid w:val="006E7869"/>
    <w:rsid w:val="006F06EC"/>
    <w:rsid w:val="006F1513"/>
    <w:rsid w:val="006F365C"/>
    <w:rsid w:val="006F3686"/>
    <w:rsid w:val="006F3A8C"/>
    <w:rsid w:val="006F3DA9"/>
    <w:rsid w:val="006F4CB4"/>
    <w:rsid w:val="006F5BB7"/>
    <w:rsid w:val="006F5CC2"/>
    <w:rsid w:val="006F64B7"/>
    <w:rsid w:val="006F6767"/>
    <w:rsid w:val="006F6BEE"/>
    <w:rsid w:val="006F6CC4"/>
    <w:rsid w:val="006F783A"/>
    <w:rsid w:val="006F7BAA"/>
    <w:rsid w:val="006F7F5B"/>
    <w:rsid w:val="00701728"/>
    <w:rsid w:val="00701E49"/>
    <w:rsid w:val="00704A90"/>
    <w:rsid w:val="00705AEF"/>
    <w:rsid w:val="00705DB6"/>
    <w:rsid w:val="00706AF7"/>
    <w:rsid w:val="00706CB4"/>
    <w:rsid w:val="00707427"/>
    <w:rsid w:val="007079D2"/>
    <w:rsid w:val="00707BAC"/>
    <w:rsid w:val="00710445"/>
    <w:rsid w:val="0071073F"/>
    <w:rsid w:val="00710DFC"/>
    <w:rsid w:val="00711314"/>
    <w:rsid w:val="00711423"/>
    <w:rsid w:val="00711AFA"/>
    <w:rsid w:val="0071273D"/>
    <w:rsid w:val="007128D7"/>
    <w:rsid w:val="00714FF6"/>
    <w:rsid w:val="00716833"/>
    <w:rsid w:val="00717810"/>
    <w:rsid w:val="00717AB3"/>
    <w:rsid w:val="00720235"/>
    <w:rsid w:val="00721D07"/>
    <w:rsid w:val="007224C8"/>
    <w:rsid w:val="007236D4"/>
    <w:rsid w:val="00723D4B"/>
    <w:rsid w:val="00724099"/>
    <w:rsid w:val="007249E9"/>
    <w:rsid w:val="00724A3C"/>
    <w:rsid w:val="00724E16"/>
    <w:rsid w:val="007250E6"/>
    <w:rsid w:val="00725A97"/>
    <w:rsid w:val="0072607A"/>
    <w:rsid w:val="0072615C"/>
    <w:rsid w:val="00726604"/>
    <w:rsid w:val="00726F10"/>
    <w:rsid w:val="00727A64"/>
    <w:rsid w:val="00727CB1"/>
    <w:rsid w:val="007304CB"/>
    <w:rsid w:val="00730C07"/>
    <w:rsid w:val="00731731"/>
    <w:rsid w:val="00731739"/>
    <w:rsid w:val="00731B4A"/>
    <w:rsid w:val="00731F61"/>
    <w:rsid w:val="00732157"/>
    <w:rsid w:val="00732D64"/>
    <w:rsid w:val="00733371"/>
    <w:rsid w:val="0073353D"/>
    <w:rsid w:val="00733872"/>
    <w:rsid w:val="00734662"/>
    <w:rsid w:val="00735078"/>
    <w:rsid w:val="0073515B"/>
    <w:rsid w:val="007354B0"/>
    <w:rsid w:val="0073586E"/>
    <w:rsid w:val="00735A4E"/>
    <w:rsid w:val="0073605B"/>
    <w:rsid w:val="00736AFF"/>
    <w:rsid w:val="00736DBE"/>
    <w:rsid w:val="0073721F"/>
    <w:rsid w:val="0074041A"/>
    <w:rsid w:val="00741CBE"/>
    <w:rsid w:val="007425D7"/>
    <w:rsid w:val="00743316"/>
    <w:rsid w:val="00743AC9"/>
    <w:rsid w:val="007442F5"/>
    <w:rsid w:val="0074496F"/>
    <w:rsid w:val="007454CE"/>
    <w:rsid w:val="007455AD"/>
    <w:rsid w:val="00745A0F"/>
    <w:rsid w:val="00745D16"/>
    <w:rsid w:val="007461EC"/>
    <w:rsid w:val="00746CD0"/>
    <w:rsid w:val="007472C1"/>
    <w:rsid w:val="00747971"/>
    <w:rsid w:val="00747CB0"/>
    <w:rsid w:val="00750135"/>
    <w:rsid w:val="00750854"/>
    <w:rsid w:val="00751E59"/>
    <w:rsid w:val="00751F0B"/>
    <w:rsid w:val="007526E8"/>
    <w:rsid w:val="0075388B"/>
    <w:rsid w:val="007539B1"/>
    <w:rsid w:val="00753AC4"/>
    <w:rsid w:val="00753EB5"/>
    <w:rsid w:val="00754617"/>
    <w:rsid w:val="00755583"/>
    <w:rsid w:val="007576DE"/>
    <w:rsid w:val="007577D8"/>
    <w:rsid w:val="00760017"/>
    <w:rsid w:val="00762E1C"/>
    <w:rsid w:val="007646F6"/>
    <w:rsid w:val="00764B25"/>
    <w:rsid w:val="0076503D"/>
    <w:rsid w:val="00765340"/>
    <w:rsid w:val="007655D5"/>
    <w:rsid w:val="007657AA"/>
    <w:rsid w:val="007669D8"/>
    <w:rsid w:val="00766C68"/>
    <w:rsid w:val="007707D4"/>
    <w:rsid w:val="0077087B"/>
    <w:rsid w:val="00770AEF"/>
    <w:rsid w:val="00770F03"/>
    <w:rsid w:val="00770FB6"/>
    <w:rsid w:val="00771723"/>
    <w:rsid w:val="00771BA2"/>
    <w:rsid w:val="00772C27"/>
    <w:rsid w:val="00773FB2"/>
    <w:rsid w:val="0077410E"/>
    <w:rsid w:val="00774CDC"/>
    <w:rsid w:val="007756A6"/>
    <w:rsid w:val="007762D0"/>
    <w:rsid w:val="00776F8F"/>
    <w:rsid w:val="00780DD9"/>
    <w:rsid w:val="00780E52"/>
    <w:rsid w:val="007813AF"/>
    <w:rsid w:val="0078299E"/>
    <w:rsid w:val="00782BE5"/>
    <w:rsid w:val="00782FE4"/>
    <w:rsid w:val="00783F2F"/>
    <w:rsid w:val="00784F3B"/>
    <w:rsid w:val="007854C6"/>
    <w:rsid w:val="00785C8A"/>
    <w:rsid w:val="00785D48"/>
    <w:rsid w:val="00786238"/>
    <w:rsid w:val="007878E2"/>
    <w:rsid w:val="00790945"/>
    <w:rsid w:val="0079097F"/>
    <w:rsid w:val="0079169F"/>
    <w:rsid w:val="00792C91"/>
    <w:rsid w:val="00793135"/>
    <w:rsid w:val="007938E9"/>
    <w:rsid w:val="00793A2D"/>
    <w:rsid w:val="00794756"/>
    <w:rsid w:val="00794866"/>
    <w:rsid w:val="00795E0C"/>
    <w:rsid w:val="00797C70"/>
    <w:rsid w:val="00797CDB"/>
    <w:rsid w:val="00797D78"/>
    <w:rsid w:val="007A0285"/>
    <w:rsid w:val="007A0422"/>
    <w:rsid w:val="007A07D5"/>
    <w:rsid w:val="007A2009"/>
    <w:rsid w:val="007A2CC5"/>
    <w:rsid w:val="007A2DB8"/>
    <w:rsid w:val="007A4268"/>
    <w:rsid w:val="007A461B"/>
    <w:rsid w:val="007A631A"/>
    <w:rsid w:val="007A6C83"/>
    <w:rsid w:val="007A6FC5"/>
    <w:rsid w:val="007A7573"/>
    <w:rsid w:val="007A75EB"/>
    <w:rsid w:val="007A78E5"/>
    <w:rsid w:val="007A7BBB"/>
    <w:rsid w:val="007B12A7"/>
    <w:rsid w:val="007B1BDC"/>
    <w:rsid w:val="007B611B"/>
    <w:rsid w:val="007B62A2"/>
    <w:rsid w:val="007B6A35"/>
    <w:rsid w:val="007B6C04"/>
    <w:rsid w:val="007B76AE"/>
    <w:rsid w:val="007B773A"/>
    <w:rsid w:val="007B7F14"/>
    <w:rsid w:val="007C1A86"/>
    <w:rsid w:val="007C212F"/>
    <w:rsid w:val="007C41D4"/>
    <w:rsid w:val="007C49D5"/>
    <w:rsid w:val="007C4AC0"/>
    <w:rsid w:val="007C5044"/>
    <w:rsid w:val="007C53AE"/>
    <w:rsid w:val="007C6206"/>
    <w:rsid w:val="007C759E"/>
    <w:rsid w:val="007D025C"/>
    <w:rsid w:val="007D08BD"/>
    <w:rsid w:val="007D0E70"/>
    <w:rsid w:val="007D0FDF"/>
    <w:rsid w:val="007D2957"/>
    <w:rsid w:val="007D3173"/>
    <w:rsid w:val="007D3B2E"/>
    <w:rsid w:val="007D521D"/>
    <w:rsid w:val="007D5450"/>
    <w:rsid w:val="007D5EE8"/>
    <w:rsid w:val="007D6B0D"/>
    <w:rsid w:val="007E0577"/>
    <w:rsid w:val="007E0ED8"/>
    <w:rsid w:val="007E1C26"/>
    <w:rsid w:val="007E30A6"/>
    <w:rsid w:val="007E377D"/>
    <w:rsid w:val="007E50DF"/>
    <w:rsid w:val="007E521C"/>
    <w:rsid w:val="007E5946"/>
    <w:rsid w:val="007E6812"/>
    <w:rsid w:val="007E7694"/>
    <w:rsid w:val="007E7E1D"/>
    <w:rsid w:val="007E7EA1"/>
    <w:rsid w:val="007F02D0"/>
    <w:rsid w:val="007F02F6"/>
    <w:rsid w:val="007F0C84"/>
    <w:rsid w:val="007F12EE"/>
    <w:rsid w:val="007F209E"/>
    <w:rsid w:val="007F2CFE"/>
    <w:rsid w:val="007F595C"/>
    <w:rsid w:val="007F5A5D"/>
    <w:rsid w:val="007F686A"/>
    <w:rsid w:val="007F7E3E"/>
    <w:rsid w:val="007F7F6C"/>
    <w:rsid w:val="00800904"/>
    <w:rsid w:val="00801052"/>
    <w:rsid w:val="00801327"/>
    <w:rsid w:val="00801496"/>
    <w:rsid w:val="008015CA"/>
    <w:rsid w:val="00801668"/>
    <w:rsid w:val="00801995"/>
    <w:rsid w:val="008024CF"/>
    <w:rsid w:val="008025AB"/>
    <w:rsid w:val="00802BE1"/>
    <w:rsid w:val="008035F7"/>
    <w:rsid w:val="00803735"/>
    <w:rsid w:val="00805645"/>
    <w:rsid w:val="00805768"/>
    <w:rsid w:val="0080766B"/>
    <w:rsid w:val="0081078C"/>
    <w:rsid w:val="00811822"/>
    <w:rsid w:val="00811AE3"/>
    <w:rsid w:val="00811BA2"/>
    <w:rsid w:val="0081216F"/>
    <w:rsid w:val="00812CD7"/>
    <w:rsid w:val="00812D59"/>
    <w:rsid w:val="00813039"/>
    <w:rsid w:val="00813110"/>
    <w:rsid w:val="0081334D"/>
    <w:rsid w:val="00813AEC"/>
    <w:rsid w:val="00815233"/>
    <w:rsid w:val="008154D9"/>
    <w:rsid w:val="00815ABE"/>
    <w:rsid w:val="008175BD"/>
    <w:rsid w:val="00820147"/>
    <w:rsid w:val="008203E6"/>
    <w:rsid w:val="00820B5D"/>
    <w:rsid w:val="00821C04"/>
    <w:rsid w:val="00822392"/>
    <w:rsid w:val="00823770"/>
    <w:rsid w:val="00824151"/>
    <w:rsid w:val="0082527E"/>
    <w:rsid w:val="0082540C"/>
    <w:rsid w:val="0082540E"/>
    <w:rsid w:val="00826665"/>
    <w:rsid w:val="00826A7D"/>
    <w:rsid w:val="00826D6D"/>
    <w:rsid w:val="00827314"/>
    <w:rsid w:val="0082785F"/>
    <w:rsid w:val="0083025F"/>
    <w:rsid w:val="00830391"/>
    <w:rsid w:val="0083043D"/>
    <w:rsid w:val="00830817"/>
    <w:rsid w:val="00830F83"/>
    <w:rsid w:val="00832FEA"/>
    <w:rsid w:val="008331EF"/>
    <w:rsid w:val="00833F80"/>
    <w:rsid w:val="008344EA"/>
    <w:rsid w:val="00834AF3"/>
    <w:rsid w:val="0083563E"/>
    <w:rsid w:val="00836283"/>
    <w:rsid w:val="00836A04"/>
    <w:rsid w:val="00837B17"/>
    <w:rsid w:val="00837BA8"/>
    <w:rsid w:val="00840539"/>
    <w:rsid w:val="008405D3"/>
    <w:rsid w:val="0084075F"/>
    <w:rsid w:val="008418D7"/>
    <w:rsid w:val="00841E19"/>
    <w:rsid w:val="00843461"/>
    <w:rsid w:val="0084362C"/>
    <w:rsid w:val="00843B20"/>
    <w:rsid w:val="008441DC"/>
    <w:rsid w:val="008444CA"/>
    <w:rsid w:val="0084457E"/>
    <w:rsid w:val="008453C6"/>
    <w:rsid w:val="00846519"/>
    <w:rsid w:val="00846BE0"/>
    <w:rsid w:val="00847780"/>
    <w:rsid w:val="00847D6B"/>
    <w:rsid w:val="00850473"/>
    <w:rsid w:val="0085098B"/>
    <w:rsid w:val="008515C2"/>
    <w:rsid w:val="00852C52"/>
    <w:rsid w:val="008532B8"/>
    <w:rsid w:val="00853AE1"/>
    <w:rsid w:val="00854421"/>
    <w:rsid w:val="008551D4"/>
    <w:rsid w:val="00860E1F"/>
    <w:rsid w:val="00861987"/>
    <w:rsid w:val="008629D7"/>
    <w:rsid w:val="00864513"/>
    <w:rsid w:val="00864855"/>
    <w:rsid w:val="008649C2"/>
    <w:rsid w:val="008651F6"/>
    <w:rsid w:val="008652C2"/>
    <w:rsid w:val="008656A3"/>
    <w:rsid w:val="00865A77"/>
    <w:rsid w:val="00865CC8"/>
    <w:rsid w:val="00866503"/>
    <w:rsid w:val="008666CF"/>
    <w:rsid w:val="00866A55"/>
    <w:rsid w:val="00866C0F"/>
    <w:rsid w:val="00866F6C"/>
    <w:rsid w:val="0086767F"/>
    <w:rsid w:val="0086786C"/>
    <w:rsid w:val="008700B3"/>
    <w:rsid w:val="00870C5E"/>
    <w:rsid w:val="00871C0C"/>
    <w:rsid w:val="00871E80"/>
    <w:rsid w:val="00872374"/>
    <w:rsid w:val="00873382"/>
    <w:rsid w:val="008735BC"/>
    <w:rsid w:val="008736AE"/>
    <w:rsid w:val="00873A9E"/>
    <w:rsid w:val="00874232"/>
    <w:rsid w:val="00875AA2"/>
    <w:rsid w:val="00876108"/>
    <w:rsid w:val="00876FAA"/>
    <w:rsid w:val="00877454"/>
    <w:rsid w:val="00877FEA"/>
    <w:rsid w:val="0088010D"/>
    <w:rsid w:val="00880B07"/>
    <w:rsid w:val="0088366C"/>
    <w:rsid w:val="008837D5"/>
    <w:rsid w:val="00885D1A"/>
    <w:rsid w:val="00886C00"/>
    <w:rsid w:val="00887822"/>
    <w:rsid w:val="008879F7"/>
    <w:rsid w:val="00887A84"/>
    <w:rsid w:val="00890633"/>
    <w:rsid w:val="008929DB"/>
    <w:rsid w:val="00892EED"/>
    <w:rsid w:val="00893539"/>
    <w:rsid w:val="00893A4B"/>
    <w:rsid w:val="00894F06"/>
    <w:rsid w:val="00895833"/>
    <w:rsid w:val="00895F5A"/>
    <w:rsid w:val="008964A4"/>
    <w:rsid w:val="008969E9"/>
    <w:rsid w:val="00897C5F"/>
    <w:rsid w:val="00897C6B"/>
    <w:rsid w:val="008A06A3"/>
    <w:rsid w:val="008A070A"/>
    <w:rsid w:val="008A0B45"/>
    <w:rsid w:val="008A63FB"/>
    <w:rsid w:val="008A65D1"/>
    <w:rsid w:val="008A7451"/>
    <w:rsid w:val="008A7CCB"/>
    <w:rsid w:val="008B1938"/>
    <w:rsid w:val="008B2265"/>
    <w:rsid w:val="008B25FA"/>
    <w:rsid w:val="008B34A9"/>
    <w:rsid w:val="008B393B"/>
    <w:rsid w:val="008B3C90"/>
    <w:rsid w:val="008B431C"/>
    <w:rsid w:val="008B45FA"/>
    <w:rsid w:val="008B472E"/>
    <w:rsid w:val="008B5043"/>
    <w:rsid w:val="008B53FD"/>
    <w:rsid w:val="008B5CE3"/>
    <w:rsid w:val="008B6F72"/>
    <w:rsid w:val="008B73FA"/>
    <w:rsid w:val="008B7669"/>
    <w:rsid w:val="008B76B0"/>
    <w:rsid w:val="008B777A"/>
    <w:rsid w:val="008C00C8"/>
    <w:rsid w:val="008C0736"/>
    <w:rsid w:val="008C07FD"/>
    <w:rsid w:val="008C1327"/>
    <w:rsid w:val="008C2B47"/>
    <w:rsid w:val="008C2E25"/>
    <w:rsid w:val="008C31E7"/>
    <w:rsid w:val="008C324E"/>
    <w:rsid w:val="008C380E"/>
    <w:rsid w:val="008C38D6"/>
    <w:rsid w:val="008C38EA"/>
    <w:rsid w:val="008C4624"/>
    <w:rsid w:val="008C749F"/>
    <w:rsid w:val="008C74BD"/>
    <w:rsid w:val="008D00E9"/>
    <w:rsid w:val="008D19DE"/>
    <w:rsid w:val="008D24E3"/>
    <w:rsid w:val="008D2679"/>
    <w:rsid w:val="008D45B7"/>
    <w:rsid w:val="008D46FD"/>
    <w:rsid w:val="008D4E79"/>
    <w:rsid w:val="008D51C7"/>
    <w:rsid w:val="008D5DC3"/>
    <w:rsid w:val="008D5F2D"/>
    <w:rsid w:val="008D7242"/>
    <w:rsid w:val="008D7ED6"/>
    <w:rsid w:val="008E147D"/>
    <w:rsid w:val="008E1492"/>
    <w:rsid w:val="008E28A8"/>
    <w:rsid w:val="008E3069"/>
    <w:rsid w:val="008E30EC"/>
    <w:rsid w:val="008E354B"/>
    <w:rsid w:val="008E3E36"/>
    <w:rsid w:val="008E515C"/>
    <w:rsid w:val="008E5375"/>
    <w:rsid w:val="008E5844"/>
    <w:rsid w:val="008E684F"/>
    <w:rsid w:val="008E6C4F"/>
    <w:rsid w:val="008E6CD9"/>
    <w:rsid w:val="008F01AF"/>
    <w:rsid w:val="008F0241"/>
    <w:rsid w:val="008F04D6"/>
    <w:rsid w:val="008F08C7"/>
    <w:rsid w:val="008F0918"/>
    <w:rsid w:val="008F0DD0"/>
    <w:rsid w:val="008F1CE5"/>
    <w:rsid w:val="008F1D28"/>
    <w:rsid w:val="008F21AF"/>
    <w:rsid w:val="008F2E45"/>
    <w:rsid w:val="008F3B06"/>
    <w:rsid w:val="008F3DDC"/>
    <w:rsid w:val="008F427B"/>
    <w:rsid w:val="008F4E97"/>
    <w:rsid w:val="008F5E0D"/>
    <w:rsid w:val="008F605F"/>
    <w:rsid w:val="008F67B1"/>
    <w:rsid w:val="008F69DC"/>
    <w:rsid w:val="008F72CB"/>
    <w:rsid w:val="008F7653"/>
    <w:rsid w:val="008F7853"/>
    <w:rsid w:val="00900761"/>
    <w:rsid w:val="00900814"/>
    <w:rsid w:val="009019B8"/>
    <w:rsid w:val="00901B19"/>
    <w:rsid w:val="00902069"/>
    <w:rsid w:val="009029FB"/>
    <w:rsid w:val="00902C6C"/>
    <w:rsid w:val="0090461C"/>
    <w:rsid w:val="00905894"/>
    <w:rsid w:val="0090628B"/>
    <w:rsid w:val="0090650E"/>
    <w:rsid w:val="009073D7"/>
    <w:rsid w:val="00907C6E"/>
    <w:rsid w:val="00910714"/>
    <w:rsid w:val="0091092B"/>
    <w:rsid w:val="00910D8F"/>
    <w:rsid w:val="00911099"/>
    <w:rsid w:val="0091128F"/>
    <w:rsid w:val="009112A3"/>
    <w:rsid w:val="00911BBE"/>
    <w:rsid w:val="00911C8D"/>
    <w:rsid w:val="00912977"/>
    <w:rsid w:val="00913CBC"/>
    <w:rsid w:val="00913FBC"/>
    <w:rsid w:val="00914486"/>
    <w:rsid w:val="009149E1"/>
    <w:rsid w:val="009157C1"/>
    <w:rsid w:val="00915CDE"/>
    <w:rsid w:val="00916D19"/>
    <w:rsid w:val="00916F98"/>
    <w:rsid w:val="0091717B"/>
    <w:rsid w:val="00917B91"/>
    <w:rsid w:val="0092014E"/>
    <w:rsid w:val="0092022C"/>
    <w:rsid w:val="00920701"/>
    <w:rsid w:val="00920726"/>
    <w:rsid w:val="00920F4E"/>
    <w:rsid w:val="00921021"/>
    <w:rsid w:val="00921A7D"/>
    <w:rsid w:val="00922840"/>
    <w:rsid w:val="00922AC0"/>
    <w:rsid w:val="0092300C"/>
    <w:rsid w:val="009231D7"/>
    <w:rsid w:val="00924D03"/>
    <w:rsid w:val="00925992"/>
    <w:rsid w:val="00925AA5"/>
    <w:rsid w:val="00926F6D"/>
    <w:rsid w:val="00931BA1"/>
    <w:rsid w:val="00932200"/>
    <w:rsid w:val="00932E55"/>
    <w:rsid w:val="00932E79"/>
    <w:rsid w:val="0093316E"/>
    <w:rsid w:val="00933847"/>
    <w:rsid w:val="00933A7A"/>
    <w:rsid w:val="00933B98"/>
    <w:rsid w:val="009340DC"/>
    <w:rsid w:val="00934F35"/>
    <w:rsid w:val="009351D8"/>
    <w:rsid w:val="00935220"/>
    <w:rsid w:val="009353E9"/>
    <w:rsid w:val="009356C3"/>
    <w:rsid w:val="00935712"/>
    <w:rsid w:val="0093616E"/>
    <w:rsid w:val="009363AA"/>
    <w:rsid w:val="009364C0"/>
    <w:rsid w:val="00936BE7"/>
    <w:rsid w:val="00937BBF"/>
    <w:rsid w:val="00940C13"/>
    <w:rsid w:val="0094144F"/>
    <w:rsid w:val="009417D0"/>
    <w:rsid w:val="00941CD8"/>
    <w:rsid w:val="00941D9E"/>
    <w:rsid w:val="00942301"/>
    <w:rsid w:val="00944014"/>
    <w:rsid w:val="009446F0"/>
    <w:rsid w:val="00945369"/>
    <w:rsid w:val="00945436"/>
    <w:rsid w:val="00947038"/>
    <w:rsid w:val="00947062"/>
    <w:rsid w:val="00947100"/>
    <w:rsid w:val="0094797D"/>
    <w:rsid w:val="009506B2"/>
    <w:rsid w:val="009513E3"/>
    <w:rsid w:val="00952201"/>
    <w:rsid w:val="0095331A"/>
    <w:rsid w:val="009534AA"/>
    <w:rsid w:val="00953AEF"/>
    <w:rsid w:val="009549DD"/>
    <w:rsid w:val="00955093"/>
    <w:rsid w:val="00955B38"/>
    <w:rsid w:val="00956A52"/>
    <w:rsid w:val="009578D6"/>
    <w:rsid w:val="00957AFC"/>
    <w:rsid w:val="009600AE"/>
    <w:rsid w:val="009601CA"/>
    <w:rsid w:val="00960E54"/>
    <w:rsid w:val="00960EA5"/>
    <w:rsid w:val="009612A0"/>
    <w:rsid w:val="009612EE"/>
    <w:rsid w:val="0096186B"/>
    <w:rsid w:val="00962382"/>
    <w:rsid w:val="00962F8C"/>
    <w:rsid w:val="0096387A"/>
    <w:rsid w:val="0096492C"/>
    <w:rsid w:val="00964A01"/>
    <w:rsid w:val="00964A6F"/>
    <w:rsid w:val="00965225"/>
    <w:rsid w:val="009656E0"/>
    <w:rsid w:val="00965B13"/>
    <w:rsid w:val="00966DC4"/>
    <w:rsid w:val="00966DF0"/>
    <w:rsid w:val="00966FD9"/>
    <w:rsid w:val="0096727E"/>
    <w:rsid w:val="0096781D"/>
    <w:rsid w:val="009702AA"/>
    <w:rsid w:val="0097189C"/>
    <w:rsid w:val="009724BC"/>
    <w:rsid w:val="00972AE7"/>
    <w:rsid w:val="00972FD3"/>
    <w:rsid w:val="0097344A"/>
    <w:rsid w:val="0097365A"/>
    <w:rsid w:val="00973FB8"/>
    <w:rsid w:val="00974A06"/>
    <w:rsid w:val="00975A63"/>
    <w:rsid w:val="00975DA4"/>
    <w:rsid w:val="00976499"/>
    <w:rsid w:val="00977E2A"/>
    <w:rsid w:val="009803D4"/>
    <w:rsid w:val="00980468"/>
    <w:rsid w:val="00980725"/>
    <w:rsid w:val="009809FC"/>
    <w:rsid w:val="0098315D"/>
    <w:rsid w:val="00983825"/>
    <w:rsid w:val="00984344"/>
    <w:rsid w:val="0098479E"/>
    <w:rsid w:val="00984DFF"/>
    <w:rsid w:val="009854B6"/>
    <w:rsid w:val="00985A1F"/>
    <w:rsid w:val="00986441"/>
    <w:rsid w:val="00986B83"/>
    <w:rsid w:val="00990EE4"/>
    <w:rsid w:val="0099160E"/>
    <w:rsid w:val="00991697"/>
    <w:rsid w:val="0099263B"/>
    <w:rsid w:val="0099280C"/>
    <w:rsid w:val="00992C71"/>
    <w:rsid w:val="00993434"/>
    <w:rsid w:val="0099384C"/>
    <w:rsid w:val="00993C21"/>
    <w:rsid w:val="00993D00"/>
    <w:rsid w:val="0099404A"/>
    <w:rsid w:val="00994762"/>
    <w:rsid w:val="00994A88"/>
    <w:rsid w:val="00995576"/>
    <w:rsid w:val="009970D1"/>
    <w:rsid w:val="00997619"/>
    <w:rsid w:val="00997B46"/>
    <w:rsid w:val="00997CF0"/>
    <w:rsid w:val="009A00AC"/>
    <w:rsid w:val="009A02A5"/>
    <w:rsid w:val="009A0938"/>
    <w:rsid w:val="009A1A43"/>
    <w:rsid w:val="009A2A67"/>
    <w:rsid w:val="009A324D"/>
    <w:rsid w:val="009A387C"/>
    <w:rsid w:val="009A4BB2"/>
    <w:rsid w:val="009A650C"/>
    <w:rsid w:val="009A6C9E"/>
    <w:rsid w:val="009A75DB"/>
    <w:rsid w:val="009A7DD1"/>
    <w:rsid w:val="009A7F82"/>
    <w:rsid w:val="009B0A1E"/>
    <w:rsid w:val="009B3B28"/>
    <w:rsid w:val="009B5880"/>
    <w:rsid w:val="009B61F3"/>
    <w:rsid w:val="009B670D"/>
    <w:rsid w:val="009B77DA"/>
    <w:rsid w:val="009C06F4"/>
    <w:rsid w:val="009C0DDF"/>
    <w:rsid w:val="009C1213"/>
    <w:rsid w:val="009C13E2"/>
    <w:rsid w:val="009C1ADA"/>
    <w:rsid w:val="009C1D39"/>
    <w:rsid w:val="009C20C6"/>
    <w:rsid w:val="009C29D9"/>
    <w:rsid w:val="009C350A"/>
    <w:rsid w:val="009C4C44"/>
    <w:rsid w:val="009C4CA3"/>
    <w:rsid w:val="009C6990"/>
    <w:rsid w:val="009C6A3F"/>
    <w:rsid w:val="009C6B90"/>
    <w:rsid w:val="009C6EF1"/>
    <w:rsid w:val="009C7485"/>
    <w:rsid w:val="009C7900"/>
    <w:rsid w:val="009D0015"/>
    <w:rsid w:val="009D063D"/>
    <w:rsid w:val="009D24D8"/>
    <w:rsid w:val="009D3693"/>
    <w:rsid w:val="009D3A49"/>
    <w:rsid w:val="009D3FB3"/>
    <w:rsid w:val="009D4195"/>
    <w:rsid w:val="009D5DDA"/>
    <w:rsid w:val="009D5ED9"/>
    <w:rsid w:val="009D680F"/>
    <w:rsid w:val="009D6A67"/>
    <w:rsid w:val="009D6CBB"/>
    <w:rsid w:val="009D7586"/>
    <w:rsid w:val="009E0BA1"/>
    <w:rsid w:val="009E1782"/>
    <w:rsid w:val="009E1812"/>
    <w:rsid w:val="009E1D57"/>
    <w:rsid w:val="009E3BF8"/>
    <w:rsid w:val="009E3C40"/>
    <w:rsid w:val="009E414E"/>
    <w:rsid w:val="009E4405"/>
    <w:rsid w:val="009E4675"/>
    <w:rsid w:val="009E4A4C"/>
    <w:rsid w:val="009E4CA4"/>
    <w:rsid w:val="009E657A"/>
    <w:rsid w:val="009E68CD"/>
    <w:rsid w:val="009E6F82"/>
    <w:rsid w:val="009E6FB9"/>
    <w:rsid w:val="009E74FC"/>
    <w:rsid w:val="009E7D4E"/>
    <w:rsid w:val="009F04EF"/>
    <w:rsid w:val="009F0EF9"/>
    <w:rsid w:val="009F3CDD"/>
    <w:rsid w:val="009F52C4"/>
    <w:rsid w:val="009F548F"/>
    <w:rsid w:val="009F6724"/>
    <w:rsid w:val="00A00230"/>
    <w:rsid w:val="00A004A1"/>
    <w:rsid w:val="00A00B82"/>
    <w:rsid w:val="00A00D3F"/>
    <w:rsid w:val="00A016E2"/>
    <w:rsid w:val="00A0198D"/>
    <w:rsid w:val="00A02683"/>
    <w:rsid w:val="00A03A7B"/>
    <w:rsid w:val="00A0450E"/>
    <w:rsid w:val="00A0473B"/>
    <w:rsid w:val="00A04A8C"/>
    <w:rsid w:val="00A051AC"/>
    <w:rsid w:val="00A05352"/>
    <w:rsid w:val="00A05655"/>
    <w:rsid w:val="00A05BC5"/>
    <w:rsid w:val="00A06E73"/>
    <w:rsid w:val="00A072D6"/>
    <w:rsid w:val="00A0755B"/>
    <w:rsid w:val="00A0787F"/>
    <w:rsid w:val="00A117B4"/>
    <w:rsid w:val="00A12926"/>
    <w:rsid w:val="00A133AC"/>
    <w:rsid w:val="00A138D5"/>
    <w:rsid w:val="00A14371"/>
    <w:rsid w:val="00A144F1"/>
    <w:rsid w:val="00A146CC"/>
    <w:rsid w:val="00A14967"/>
    <w:rsid w:val="00A1626F"/>
    <w:rsid w:val="00A17675"/>
    <w:rsid w:val="00A20589"/>
    <w:rsid w:val="00A206FF"/>
    <w:rsid w:val="00A20D90"/>
    <w:rsid w:val="00A21C3A"/>
    <w:rsid w:val="00A2266A"/>
    <w:rsid w:val="00A227B5"/>
    <w:rsid w:val="00A22B3A"/>
    <w:rsid w:val="00A22C33"/>
    <w:rsid w:val="00A22D54"/>
    <w:rsid w:val="00A247A9"/>
    <w:rsid w:val="00A25468"/>
    <w:rsid w:val="00A2564F"/>
    <w:rsid w:val="00A264EF"/>
    <w:rsid w:val="00A26B73"/>
    <w:rsid w:val="00A2717F"/>
    <w:rsid w:val="00A27501"/>
    <w:rsid w:val="00A3068D"/>
    <w:rsid w:val="00A310D4"/>
    <w:rsid w:val="00A31135"/>
    <w:rsid w:val="00A312CB"/>
    <w:rsid w:val="00A32789"/>
    <w:rsid w:val="00A332FB"/>
    <w:rsid w:val="00A33795"/>
    <w:rsid w:val="00A33CF1"/>
    <w:rsid w:val="00A349D1"/>
    <w:rsid w:val="00A3585A"/>
    <w:rsid w:val="00A36460"/>
    <w:rsid w:val="00A36B9D"/>
    <w:rsid w:val="00A36FC7"/>
    <w:rsid w:val="00A37657"/>
    <w:rsid w:val="00A40062"/>
    <w:rsid w:val="00A40F97"/>
    <w:rsid w:val="00A415D0"/>
    <w:rsid w:val="00A422F2"/>
    <w:rsid w:val="00A422F7"/>
    <w:rsid w:val="00A42A0E"/>
    <w:rsid w:val="00A44608"/>
    <w:rsid w:val="00A44981"/>
    <w:rsid w:val="00A449A6"/>
    <w:rsid w:val="00A449D2"/>
    <w:rsid w:val="00A46F34"/>
    <w:rsid w:val="00A47417"/>
    <w:rsid w:val="00A478F0"/>
    <w:rsid w:val="00A51C4C"/>
    <w:rsid w:val="00A523D6"/>
    <w:rsid w:val="00A5285A"/>
    <w:rsid w:val="00A53B2B"/>
    <w:rsid w:val="00A54570"/>
    <w:rsid w:val="00A54700"/>
    <w:rsid w:val="00A54DFE"/>
    <w:rsid w:val="00A54FBD"/>
    <w:rsid w:val="00A55981"/>
    <w:rsid w:val="00A55B74"/>
    <w:rsid w:val="00A56612"/>
    <w:rsid w:val="00A56DA9"/>
    <w:rsid w:val="00A60F42"/>
    <w:rsid w:val="00A61D9B"/>
    <w:rsid w:val="00A62DE6"/>
    <w:rsid w:val="00A631D2"/>
    <w:rsid w:val="00A63E45"/>
    <w:rsid w:val="00A64640"/>
    <w:rsid w:val="00A65C76"/>
    <w:rsid w:val="00A66A70"/>
    <w:rsid w:val="00A67AF8"/>
    <w:rsid w:val="00A7042D"/>
    <w:rsid w:val="00A70E3E"/>
    <w:rsid w:val="00A715D6"/>
    <w:rsid w:val="00A717F5"/>
    <w:rsid w:val="00A72394"/>
    <w:rsid w:val="00A73708"/>
    <w:rsid w:val="00A73F8A"/>
    <w:rsid w:val="00A73FEC"/>
    <w:rsid w:val="00A74346"/>
    <w:rsid w:val="00A74E5D"/>
    <w:rsid w:val="00A7576A"/>
    <w:rsid w:val="00A7649E"/>
    <w:rsid w:val="00A77830"/>
    <w:rsid w:val="00A808FC"/>
    <w:rsid w:val="00A817EC"/>
    <w:rsid w:val="00A818D0"/>
    <w:rsid w:val="00A82796"/>
    <w:rsid w:val="00A828F5"/>
    <w:rsid w:val="00A832EA"/>
    <w:rsid w:val="00A836F9"/>
    <w:rsid w:val="00A849F6"/>
    <w:rsid w:val="00A85F63"/>
    <w:rsid w:val="00A86345"/>
    <w:rsid w:val="00A86792"/>
    <w:rsid w:val="00A86E57"/>
    <w:rsid w:val="00A87426"/>
    <w:rsid w:val="00A9231D"/>
    <w:rsid w:val="00A93544"/>
    <w:rsid w:val="00A9363B"/>
    <w:rsid w:val="00A936B5"/>
    <w:rsid w:val="00A93F22"/>
    <w:rsid w:val="00A94CF2"/>
    <w:rsid w:val="00A9547E"/>
    <w:rsid w:val="00A95541"/>
    <w:rsid w:val="00A962BB"/>
    <w:rsid w:val="00A9691B"/>
    <w:rsid w:val="00A971AC"/>
    <w:rsid w:val="00A9739C"/>
    <w:rsid w:val="00A97D45"/>
    <w:rsid w:val="00AA0FEE"/>
    <w:rsid w:val="00AA309F"/>
    <w:rsid w:val="00AA3512"/>
    <w:rsid w:val="00AA3EE3"/>
    <w:rsid w:val="00AA4704"/>
    <w:rsid w:val="00AA493A"/>
    <w:rsid w:val="00AA4ADD"/>
    <w:rsid w:val="00AA4FF5"/>
    <w:rsid w:val="00AA5685"/>
    <w:rsid w:val="00AA5C8E"/>
    <w:rsid w:val="00AA6C0C"/>
    <w:rsid w:val="00AA6DA0"/>
    <w:rsid w:val="00AA6DAA"/>
    <w:rsid w:val="00AA6EB7"/>
    <w:rsid w:val="00AA75B8"/>
    <w:rsid w:val="00AA76D7"/>
    <w:rsid w:val="00AA76FE"/>
    <w:rsid w:val="00AA7C4B"/>
    <w:rsid w:val="00AB0650"/>
    <w:rsid w:val="00AB0807"/>
    <w:rsid w:val="00AB0BE7"/>
    <w:rsid w:val="00AB1E3E"/>
    <w:rsid w:val="00AB2DF2"/>
    <w:rsid w:val="00AB3F61"/>
    <w:rsid w:val="00AB3F63"/>
    <w:rsid w:val="00AB3F9D"/>
    <w:rsid w:val="00AB4500"/>
    <w:rsid w:val="00AB5C63"/>
    <w:rsid w:val="00AB7143"/>
    <w:rsid w:val="00AB7BF7"/>
    <w:rsid w:val="00AB7CFD"/>
    <w:rsid w:val="00AC03C1"/>
    <w:rsid w:val="00AC050A"/>
    <w:rsid w:val="00AC17E1"/>
    <w:rsid w:val="00AC1C7C"/>
    <w:rsid w:val="00AC28B1"/>
    <w:rsid w:val="00AC446E"/>
    <w:rsid w:val="00AC4E0F"/>
    <w:rsid w:val="00AC6922"/>
    <w:rsid w:val="00AC6C91"/>
    <w:rsid w:val="00AC6D63"/>
    <w:rsid w:val="00AC7644"/>
    <w:rsid w:val="00AC77C8"/>
    <w:rsid w:val="00AD0825"/>
    <w:rsid w:val="00AD0E8D"/>
    <w:rsid w:val="00AD2063"/>
    <w:rsid w:val="00AD2865"/>
    <w:rsid w:val="00AD2CA0"/>
    <w:rsid w:val="00AD4B28"/>
    <w:rsid w:val="00AD5061"/>
    <w:rsid w:val="00AD5332"/>
    <w:rsid w:val="00AD587E"/>
    <w:rsid w:val="00AD594E"/>
    <w:rsid w:val="00AD6054"/>
    <w:rsid w:val="00AD6067"/>
    <w:rsid w:val="00AD7327"/>
    <w:rsid w:val="00AD7482"/>
    <w:rsid w:val="00AD7C3D"/>
    <w:rsid w:val="00AE0089"/>
    <w:rsid w:val="00AE0CED"/>
    <w:rsid w:val="00AE1B2E"/>
    <w:rsid w:val="00AE1F84"/>
    <w:rsid w:val="00AE2E78"/>
    <w:rsid w:val="00AE3148"/>
    <w:rsid w:val="00AE4004"/>
    <w:rsid w:val="00AE5A2B"/>
    <w:rsid w:val="00AE5C5A"/>
    <w:rsid w:val="00AE636E"/>
    <w:rsid w:val="00AE66BF"/>
    <w:rsid w:val="00AE6CEC"/>
    <w:rsid w:val="00AE7298"/>
    <w:rsid w:val="00AE72CB"/>
    <w:rsid w:val="00AE74FD"/>
    <w:rsid w:val="00AE7601"/>
    <w:rsid w:val="00AE7BD1"/>
    <w:rsid w:val="00AF1615"/>
    <w:rsid w:val="00AF232E"/>
    <w:rsid w:val="00AF27F2"/>
    <w:rsid w:val="00AF373A"/>
    <w:rsid w:val="00AF5082"/>
    <w:rsid w:val="00AF5F05"/>
    <w:rsid w:val="00AF6A09"/>
    <w:rsid w:val="00AF6CD3"/>
    <w:rsid w:val="00AF6DBB"/>
    <w:rsid w:val="00AF7EE9"/>
    <w:rsid w:val="00AF7F4F"/>
    <w:rsid w:val="00B0062D"/>
    <w:rsid w:val="00B00FC0"/>
    <w:rsid w:val="00B00FFB"/>
    <w:rsid w:val="00B0131D"/>
    <w:rsid w:val="00B01A34"/>
    <w:rsid w:val="00B01E4C"/>
    <w:rsid w:val="00B04467"/>
    <w:rsid w:val="00B0453F"/>
    <w:rsid w:val="00B0484D"/>
    <w:rsid w:val="00B04FB3"/>
    <w:rsid w:val="00B05385"/>
    <w:rsid w:val="00B05550"/>
    <w:rsid w:val="00B05CDC"/>
    <w:rsid w:val="00B05EA9"/>
    <w:rsid w:val="00B06443"/>
    <w:rsid w:val="00B067A2"/>
    <w:rsid w:val="00B10B47"/>
    <w:rsid w:val="00B11553"/>
    <w:rsid w:val="00B1161F"/>
    <w:rsid w:val="00B130E3"/>
    <w:rsid w:val="00B1400C"/>
    <w:rsid w:val="00B1471B"/>
    <w:rsid w:val="00B154E7"/>
    <w:rsid w:val="00B15ECD"/>
    <w:rsid w:val="00B15F78"/>
    <w:rsid w:val="00B16206"/>
    <w:rsid w:val="00B16FD9"/>
    <w:rsid w:val="00B206DC"/>
    <w:rsid w:val="00B20EB4"/>
    <w:rsid w:val="00B21855"/>
    <w:rsid w:val="00B223D6"/>
    <w:rsid w:val="00B22439"/>
    <w:rsid w:val="00B25CC5"/>
    <w:rsid w:val="00B25E08"/>
    <w:rsid w:val="00B26FE2"/>
    <w:rsid w:val="00B2717C"/>
    <w:rsid w:val="00B27981"/>
    <w:rsid w:val="00B30814"/>
    <w:rsid w:val="00B309D5"/>
    <w:rsid w:val="00B3306F"/>
    <w:rsid w:val="00B33943"/>
    <w:rsid w:val="00B33AF7"/>
    <w:rsid w:val="00B33ED0"/>
    <w:rsid w:val="00B342B8"/>
    <w:rsid w:val="00B356DF"/>
    <w:rsid w:val="00B35E04"/>
    <w:rsid w:val="00B35F87"/>
    <w:rsid w:val="00B363B9"/>
    <w:rsid w:val="00B3729A"/>
    <w:rsid w:val="00B4012B"/>
    <w:rsid w:val="00B40988"/>
    <w:rsid w:val="00B40BFF"/>
    <w:rsid w:val="00B40DFB"/>
    <w:rsid w:val="00B41A99"/>
    <w:rsid w:val="00B429B6"/>
    <w:rsid w:val="00B43250"/>
    <w:rsid w:val="00B43523"/>
    <w:rsid w:val="00B4369D"/>
    <w:rsid w:val="00B43C53"/>
    <w:rsid w:val="00B44607"/>
    <w:rsid w:val="00B44B14"/>
    <w:rsid w:val="00B45B73"/>
    <w:rsid w:val="00B45DFA"/>
    <w:rsid w:val="00B45E67"/>
    <w:rsid w:val="00B466DA"/>
    <w:rsid w:val="00B46E87"/>
    <w:rsid w:val="00B475DE"/>
    <w:rsid w:val="00B47903"/>
    <w:rsid w:val="00B501E4"/>
    <w:rsid w:val="00B50BCD"/>
    <w:rsid w:val="00B50DE3"/>
    <w:rsid w:val="00B513FD"/>
    <w:rsid w:val="00B51667"/>
    <w:rsid w:val="00B51876"/>
    <w:rsid w:val="00B51DFA"/>
    <w:rsid w:val="00B51F9B"/>
    <w:rsid w:val="00B52A88"/>
    <w:rsid w:val="00B5338F"/>
    <w:rsid w:val="00B552E4"/>
    <w:rsid w:val="00B563F7"/>
    <w:rsid w:val="00B56A4F"/>
    <w:rsid w:val="00B56AC4"/>
    <w:rsid w:val="00B56CFB"/>
    <w:rsid w:val="00B60280"/>
    <w:rsid w:val="00B60FD1"/>
    <w:rsid w:val="00B617D3"/>
    <w:rsid w:val="00B61ADC"/>
    <w:rsid w:val="00B61B4B"/>
    <w:rsid w:val="00B62067"/>
    <w:rsid w:val="00B62F56"/>
    <w:rsid w:val="00B6351C"/>
    <w:rsid w:val="00B65A7A"/>
    <w:rsid w:val="00B65EC1"/>
    <w:rsid w:val="00B66046"/>
    <w:rsid w:val="00B66555"/>
    <w:rsid w:val="00B6673F"/>
    <w:rsid w:val="00B66C7A"/>
    <w:rsid w:val="00B67044"/>
    <w:rsid w:val="00B6743A"/>
    <w:rsid w:val="00B67815"/>
    <w:rsid w:val="00B67AF3"/>
    <w:rsid w:val="00B70535"/>
    <w:rsid w:val="00B7062A"/>
    <w:rsid w:val="00B707E4"/>
    <w:rsid w:val="00B70CC7"/>
    <w:rsid w:val="00B70F07"/>
    <w:rsid w:val="00B70FB4"/>
    <w:rsid w:val="00B710F3"/>
    <w:rsid w:val="00B715E4"/>
    <w:rsid w:val="00B71F14"/>
    <w:rsid w:val="00B71F72"/>
    <w:rsid w:val="00B72016"/>
    <w:rsid w:val="00B72753"/>
    <w:rsid w:val="00B742CE"/>
    <w:rsid w:val="00B764D0"/>
    <w:rsid w:val="00B76AB7"/>
    <w:rsid w:val="00B77E74"/>
    <w:rsid w:val="00B8051D"/>
    <w:rsid w:val="00B83E95"/>
    <w:rsid w:val="00B840CC"/>
    <w:rsid w:val="00B86004"/>
    <w:rsid w:val="00B902F2"/>
    <w:rsid w:val="00B9109C"/>
    <w:rsid w:val="00B91245"/>
    <w:rsid w:val="00B91452"/>
    <w:rsid w:val="00B9162A"/>
    <w:rsid w:val="00B92807"/>
    <w:rsid w:val="00B92DF5"/>
    <w:rsid w:val="00B93B4B"/>
    <w:rsid w:val="00B9469D"/>
    <w:rsid w:val="00B94738"/>
    <w:rsid w:val="00B94798"/>
    <w:rsid w:val="00B948FF"/>
    <w:rsid w:val="00B9506A"/>
    <w:rsid w:val="00B95C2C"/>
    <w:rsid w:val="00B95E4E"/>
    <w:rsid w:val="00B9693A"/>
    <w:rsid w:val="00B969D3"/>
    <w:rsid w:val="00B96A9F"/>
    <w:rsid w:val="00B9730D"/>
    <w:rsid w:val="00B975BF"/>
    <w:rsid w:val="00B975C1"/>
    <w:rsid w:val="00BA03B4"/>
    <w:rsid w:val="00BA04F9"/>
    <w:rsid w:val="00BA1137"/>
    <w:rsid w:val="00BA1AEA"/>
    <w:rsid w:val="00BA1BFA"/>
    <w:rsid w:val="00BA2B5D"/>
    <w:rsid w:val="00BA3C44"/>
    <w:rsid w:val="00BA4289"/>
    <w:rsid w:val="00BA46F9"/>
    <w:rsid w:val="00BA4EB5"/>
    <w:rsid w:val="00BA4F8D"/>
    <w:rsid w:val="00BA6636"/>
    <w:rsid w:val="00BA6C04"/>
    <w:rsid w:val="00BB030B"/>
    <w:rsid w:val="00BB0A59"/>
    <w:rsid w:val="00BB0B97"/>
    <w:rsid w:val="00BB0E0D"/>
    <w:rsid w:val="00BB17A6"/>
    <w:rsid w:val="00BB17FC"/>
    <w:rsid w:val="00BB1A85"/>
    <w:rsid w:val="00BB2669"/>
    <w:rsid w:val="00BB2ACE"/>
    <w:rsid w:val="00BB2BF6"/>
    <w:rsid w:val="00BB350F"/>
    <w:rsid w:val="00BB371E"/>
    <w:rsid w:val="00BB3D0F"/>
    <w:rsid w:val="00BB4121"/>
    <w:rsid w:val="00BB4EF3"/>
    <w:rsid w:val="00BB56BB"/>
    <w:rsid w:val="00BB583F"/>
    <w:rsid w:val="00BB5BC5"/>
    <w:rsid w:val="00BB64DE"/>
    <w:rsid w:val="00BB68CF"/>
    <w:rsid w:val="00BB6BB1"/>
    <w:rsid w:val="00BB6F33"/>
    <w:rsid w:val="00BB79A2"/>
    <w:rsid w:val="00BC0DCC"/>
    <w:rsid w:val="00BC11B3"/>
    <w:rsid w:val="00BC199B"/>
    <w:rsid w:val="00BC2F57"/>
    <w:rsid w:val="00BC332B"/>
    <w:rsid w:val="00BC4502"/>
    <w:rsid w:val="00BC4C91"/>
    <w:rsid w:val="00BC4CAB"/>
    <w:rsid w:val="00BC4E47"/>
    <w:rsid w:val="00BC4F1E"/>
    <w:rsid w:val="00BC5B96"/>
    <w:rsid w:val="00BC5C75"/>
    <w:rsid w:val="00BC6768"/>
    <w:rsid w:val="00BC6968"/>
    <w:rsid w:val="00BC6E98"/>
    <w:rsid w:val="00BC760E"/>
    <w:rsid w:val="00BC7B2A"/>
    <w:rsid w:val="00BD0FE7"/>
    <w:rsid w:val="00BD1C1F"/>
    <w:rsid w:val="00BD2D56"/>
    <w:rsid w:val="00BD4282"/>
    <w:rsid w:val="00BD47E7"/>
    <w:rsid w:val="00BD4E42"/>
    <w:rsid w:val="00BD512E"/>
    <w:rsid w:val="00BD5563"/>
    <w:rsid w:val="00BD55BA"/>
    <w:rsid w:val="00BD5782"/>
    <w:rsid w:val="00BD5E42"/>
    <w:rsid w:val="00BD6A12"/>
    <w:rsid w:val="00BD779F"/>
    <w:rsid w:val="00BE0403"/>
    <w:rsid w:val="00BE1636"/>
    <w:rsid w:val="00BE197F"/>
    <w:rsid w:val="00BE1D3C"/>
    <w:rsid w:val="00BE1D41"/>
    <w:rsid w:val="00BE20C9"/>
    <w:rsid w:val="00BE2238"/>
    <w:rsid w:val="00BE305D"/>
    <w:rsid w:val="00BE30BC"/>
    <w:rsid w:val="00BE3870"/>
    <w:rsid w:val="00BE3935"/>
    <w:rsid w:val="00BE4017"/>
    <w:rsid w:val="00BE405E"/>
    <w:rsid w:val="00BE4A26"/>
    <w:rsid w:val="00BE6151"/>
    <w:rsid w:val="00BE6B06"/>
    <w:rsid w:val="00BE6D61"/>
    <w:rsid w:val="00BF04D9"/>
    <w:rsid w:val="00BF13ED"/>
    <w:rsid w:val="00BF2130"/>
    <w:rsid w:val="00BF22AB"/>
    <w:rsid w:val="00BF23F1"/>
    <w:rsid w:val="00BF3EC3"/>
    <w:rsid w:val="00BF4370"/>
    <w:rsid w:val="00BF496B"/>
    <w:rsid w:val="00BF4FD8"/>
    <w:rsid w:val="00BF57F6"/>
    <w:rsid w:val="00BF5AF8"/>
    <w:rsid w:val="00BF62EF"/>
    <w:rsid w:val="00BF6D84"/>
    <w:rsid w:val="00BF7211"/>
    <w:rsid w:val="00C00CF4"/>
    <w:rsid w:val="00C011A6"/>
    <w:rsid w:val="00C0217E"/>
    <w:rsid w:val="00C026AD"/>
    <w:rsid w:val="00C0286F"/>
    <w:rsid w:val="00C03963"/>
    <w:rsid w:val="00C03AD1"/>
    <w:rsid w:val="00C03B09"/>
    <w:rsid w:val="00C03FE3"/>
    <w:rsid w:val="00C04342"/>
    <w:rsid w:val="00C06231"/>
    <w:rsid w:val="00C06265"/>
    <w:rsid w:val="00C06511"/>
    <w:rsid w:val="00C0655F"/>
    <w:rsid w:val="00C07492"/>
    <w:rsid w:val="00C07709"/>
    <w:rsid w:val="00C07B5C"/>
    <w:rsid w:val="00C07B70"/>
    <w:rsid w:val="00C07B9B"/>
    <w:rsid w:val="00C07CB7"/>
    <w:rsid w:val="00C101D7"/>
    <w:rsid w:val="00C10285"/>
    <w:rsid w:val="00C1123C"/>
    <w:rsid w:val="00C11466"/>
    <w:rsid w:val="00C12A29"/>
    <w:rsid w:val="00C1322F"/>
    <w:rsid w:val="00C13435"/>
    <w:rsid w:val="00C13B70"/>
    <w:rsid w:val="00C13DA6"/>
    <w:rsid w:val="00C14250"/>
    <w:rsid w:val="00C142B3"/>
    <w:rsid w:val="00C14324"/>
    <w:rsid w:val="00C14802"/>
    <w:rsid w:val="00C14C56"/>
    <w:rsid w:val="00C1523A"/>
    <w:rsid w:val="00C15AF5"/>
    <w:rsid w:val="00C162AF"/>
    <w:rsid w:val="00C170B7"/>
    <w:rsid w:val="00C17475"/>
    <w:rsid w:val="00C17B1D"/>
    <w:rsid w:val="00C20C7A"/>
    <w:rsid w:val="00C20E0D"/>
    <w:rsid w:val="00C212B1"/>
    <w:rsid w:val="00C219EA"/>
    <w:rsid w:val="00C21A68"/>
    <w:rsid w:val="00C21A90"/>
    <w:rsid w:val="00C23E69"/>
    <w:rsid w:val="00C23FAB"/>
    <w:rsid w:val="00C2562E"/>
    <w:rsid w:val="00C25CBC"/>
    <w:rsid w:val="00C25E35"/>
    <w:rsid w:val="00C25F45"/>
    <w:rsid w:val="00C26039"/>
    <w:rsid w:val="00C26129"/>
    <w:rsid w:val="00C272A6"/>
    <w:rsid w:val="00C27959"/>
    <w:rsid w:val="00C305E7"/>
    <w:rsid w:val="00C30E66"/>
    <w:rsid w:val="00C321E2"/>
    <w:rsid w:val="00C33024"/>
    <w:rsid w:val="00C33037"/>
    <w:rsid w:val="00C33EE9"/>
    <w:rsid w:val="00C346C8"/>
    <w:rsid w:val="00C34A71"/>
    <w:rsid w:val="00C34B95"/>
    <w:rsid w:val="00C3512E"/>
    <w:rsid w:val="00C353F2"/>
    <w:rsid w:val="00C357C4"/>
    <w:rsid w:val="00C35A1F"/>
    <w:rsid w:val="00C365A1"/>
    <w:rsid w:val="00C3677A"/>
    <w:rsid w:val="00C373A3"/>
    <w:rsid w:val="00C37479"/>
    <w:rsid w:val="00C41257"/>
    <w:rsid w:val="00C41400"/>
    <w:rsid w:val="00C41D46"/>
    <w:rsid w:val="00C422DA"/>
    <w:rsid w:val="00C43595"/>
    <w:rsid w:val="00C442DA"/>
    <w:rsid w:val="00C45886"/>
    <w:rsid w:val="00C466A8"/>
    <w:rsid w:val="00C4698C"/>
    <w:rsid w:val="00C476CC"/>
    <w:rsid w:val="00C51280"/>
    <w:rsid w:val="00C52CBD"/>
    <w:rsid w:val="00C549F0"/>
    <w:rsid w:val="00C56229"/>
    <w:rsid w:val="00C60EFF"/>
    <w:rsid w:val="00C6156A"/>
    <w:rsid w:val="00C6174A"/>
    <w:rsid w:val="00C6233A"/>
    <w:rsid w:val="00C6264C"/>
    <w:rsid w:val="00C62929"/>
    <w:rsid w:val="00C6492A"/>
    <w:rsid w:val="00C64F63"/>
    <w:rsid w:val="00C650AB"/>
    <w:rsid w:val="00C66A2C"/>
    <w:rsid w:val="00C66D46"/>
    <w:rsid w:val="00C70035"/>
    <w:rsid w:val="00C70588"/>
    <w:rsid w:val="00C70721"/>
    <w:rsid w:val="00C70C33"/>
    <w:rsid w:val="00C70CAE"/>
    <w:rsid w:val="00C70F50"/>
    <w:rsid w:val="00C71433"/>
    <w:rsid w:val="00C7163A"/>
    <w:rsid w:val="00C72AE8"/>
    <w:rsid w:val="00C73642"/>
    <w:rsid w:val="00C73F76"/>
    <w:rsid w:val="00C7611A"/>
    <w:rsid w:val="00C76420"/>
    <w:rsid w:val="00C76548"/>
    <w:rsid w:val="00C77607"/>
    <w:rsid w:val="00C77E79"/>
    <w:rsid w:val="00C802E3"/>
    <w:rsid w:val="00C80D80"/>
    <w:rsid w:val="00C815EE"/>
    <w:rsid w:val="00C81B1A"/>
    <w:rsid w:val="00C82290"/>
    <w:rsid w:val="00C822A0"/>
    <w:rsid w:val="00C83D4B"/>
    <w:rsid w:val="00C84455"/>
    <w:rsid w:val="00C84799"/>
    <w:rsid w:val="00C84C17"/>
    <w:rsid w:val="00C85191"/>
    <w:rsid w:val="00C85B8B"/>
    <w:rsid w:val="00C868F4"/>
    <w:rsid w:val="00C8694A"/>
    <w:rsid w:val="00C872DD"/>
    <w:rsid w:val="00C9228C"/>
    <w:rsid w:val="00C92996"/>
    <w:rsid w:val="00C92E7B"/>
    <w:rsid w:val="00C93014"/>
    <w:rsid w:val="00C9408A"/>
    <w:rsid w:val="00C94147"/>
    <w:rsid w:val="00C94FA8"/>
    <w:rsid w:val="00C95F63"/>
    <w:rsid w:val="00C9615D"/>
    <w:rsid w:val="00C96239"/>
    <w:rsid w:val="00C96989"/>
    <w:rsid w:val="00C97146"/>
    <w:rsid w:val="00C97D35"/>
    <w:rsid w:val="00CA079C"/>
    <w:rsid w:val="00CA119F"/>
    <w:rsid w:val="00CA1813"/>
    <w:rsid w:val="00CA29F9"/>
    <w:rsid w:val="00CA38B4"/>
    <w:rsid w:val="00CA3A52"/>
    <w:rsid w:val="00CA3E1D"/>
    <w:rsid w:val="00CA3E3A"/>
    <w:rsid w:val="00CA41D2"/>
    <w:rsid w:val="00CA5311"/>
    <w:rsid w:val="00CA63CA"/>
    <w:rsid w:val="00CA7092"/>
    <w:rsid w:val="00CA7812"/>
    <w:rsid w:val="00CB02B2"/>
    <w:rsid w:val="00CB038B"/>
    <w:rsid w:val="00CB0D17"/>
    <w:rsid w:val="00CB1020"/>
    <w:rsid w:val="00CB185A"/>
    <w:rsid w:val="00CB2231"/>
    <w:rsid w:val="00CB2F39"/>
    <w:rsid w:val="00CB380A"/>
    <w:rsid w:val="00CB3BA2"/>
    <w:rsid w:val="00CB4274"/>
    <w:rsid w:val="00CB4B09"/>
    <w:rsid w:val="00CB593F"/>
    <w:rsid w:val="00CB5981"/>
    <w:rsid w:val="00CB66F9"/>
    <w:rsid w:val="00CB69FC"/>
    <w:rsid w:val="00CB777D"/>
    <w:rsid w:val="00CC044D"/>
    <w:rsid w:val="00CC084E"/>
    <w:rsid w:val="00CC1536"/>
    <w:rsid w:val="00CC17FE"/>
    <w:rsid w:val="00CC301B"/>
    <w:rsid w:val="00CC3398"/>
    <w:rsid w:val="00CC3A50"/>
    <w:rsid w:val="00CC4855"/>
    <w:rsid w:val="00CC4D86"/>
    <w:rsid w:val="00CC5683"/>
    <w:rsid w:val="00CC56A2"/>
    <w:rsid w:val="00CC5C51"/>
    <w:rsid w:val="00CC60B2"/>
    <w:rsid w:val="00CC65DF"/>
    <w:rsid w:val="00CC6719"/>
    <w:rsid w:val="00CC6777"/>
    <w:rsid w:val="00CC684F"/>
    <w:rsid w:val="00CC75FE"/>
    <w:rsid w:val="00CC7FE7"/>
    <w:rsid w:val="00CD034B"/>
    <w:rsid w:val="00CD03EB"/>
    <w:rsid w:val="00CD1BEA"/>
    <w:rsid w:val="00CD2A62"/>
    <w:rsid w:val="00CD3069"/>
    <w:rsid w:val="00CD4711"/>
    <w:rsid w:val="00CD4B6F"/>
    <w:rsid w:val="00CD4BD3"/>
    <w:rsid w:val="00CD5A2E"/>
    <w:rsid w:val="00CD5D3D"/>
    <w:rsid w:val="00CD6B79"/>
    <w:rsid w:val="00CD7327"/>
    <w:rsid w:val="00CD7612"/>
    <w:rsid w:val="00CD7A41"/>
    <w:rsid w:val="00CE1E8D"/>
    <w:rsid w:val="00CE2219"/>
    <w:rsid w:val="00CE27C9"/>
    <w:rsid w:val="00CE3000"/>
    <w:rsid w:val="00CE343E"/>
    <w:rsid w:val="00CE40EC"/>
    <w:rsid w:val="00CE41BC"/>
    <w:rsid w:val="00CE4441"/>
    <w:rsid w:val="00CE60BD"/>
    <w:rsid w:val="00CE66AB"/>
    <w:rsid w:val="00CE676C"/>
    <w:rsid w:val="00CE6C4F"/>
    <w:rsid w:val="00CE6FEA"/>
    <w:rsid w:val="00CE7389"/>
    <w:rsid w:val="00CE7556"/>
    <w:rsid w:val="00CE7811"/>
    <w:rsid w:val="00CE7BCF"/>
    <w:rsid w:val="00CF1BBD"/>
    <w:rsid w:val="00CF26D3"/>
    <w:rsid w:val="00CF2A41"/>
    <w:rsid w:val="00CF36E8"/>
    <w:rsid w:val="00CF3AF6"/>
    <w:rsid w:val="00CF3FBE"/>
    <w:rsid w:val="00CF4285"/>
    <w:rsid w:val="00CF4416"/>
    <w:rsid w:val="00CF4662"/>
    <w:rsid w:val="00CF4831"/>
    <w:rsid w:val="00CF49B3"/>
    <w:rsid w:val="00CF53FA"/>
    <w:rsid w:val="00CF59E5"/>
    <w:rsid w:val="00CF61B1"/>
    <w:rsid w:val="00CF6558"/>
    <w:rsid w:val="00CF6B31"/>
    <w:rsid w:val="00D007F9"/>
    <w:rsid w:val="00D00CDF"/>
    <w:rsid w:val="00D01061"/>
    <w:rsid w:val="00D0121B"/>
    <w:rsid w:val="00D017D4"/>
    <w:rsid w:val="00D0184F"/>
    <w:rsid w:val="00D01B58"/>
    <w:rsid w:val="00D01B8A"/>
    <w:rsid w:val="00D01D20"/>
    <w:rsid w:val="00D03553"/>
    <w:rsid w:val="00D048E1"/>
    <w:rsid w:val="00D04A6C"/>
    <w:rsid w:val="00D05331"/>
    <w:rsid w:val="00D05E78"/>
    <w:rsid w:val="00D06B69"/>
    <w:rsid w:val="00D06B7E"/>
    <w:rsid w:val="00D074A5"/>
    <w:rsid w:val="00D076A3"/>
    <w:rsid w:val="00D10235"/>
    <w:rsid w:val="00D106B7"/>
    <w:rsid w:val="00D10D59"/>
    <w:rsid w:val="00D11C48"/>
    <w:rsid w:val="00D12924"/>
    <w:rsid w:val="00D13891"/>
    <w:rsid w:val="00D14135"/>
    <w:rsid w:val="00D148C7"/>
    <w:rsid w:val="00D14DD1"/>
    <w:rsid w:val="00D14F7A"/>
    <w:rsid w:val="00D158A4"/>
    <w:rsid w:val="00D160B6"/>
    <w:rsid w:val="00D202F0"/>
    <w:rsid w:val="00D212B1"/>
    <w:rsid w:val="00D21F2E"/>
    <w:rsid w:val="00D223B3"/>
    <w:rsid w:val="00D22911"/>
    <w:rsid w:val="00D24864"/>
    <w:rsid w:val="00D24DC8"/>
    <w:rsid w:val="00D255FF"/>
    <w:rsid w:val="00D25EDB"/>
    <w:rsid w:val="00D2604F"/>
    <w:rsid w:val="00D260D1"/>
    <w:rsid w:val="00D26E51"/>
    <w:rsid w:val="00D271E4"/>
    <w:rsid w:val="00D27899"/>
    <w:rsid w:val="00D27FCE"/>
    <w:rsid w:val="00D30055"/>
    <w:rsid w:val="00D30B99"/>
    <w:rsid w:val="00D30C5F"/>
    <w:rsid w:val="00D30F4F"/>
    <w:rsid w:val="00D31F3A"/>
    <w:rsid w:val="00D32531"/>
    <w:rsid w:val="00D32768"/>
    <w:rsid w:val="00D32FEF"/>
    <w:rsid w:val="00D33839"/>
    <w:rsid w:val="00D344B0"/>
    <w:rsid w:val="00D34AAF"/>
    <w:rsid w:val="00D34D85"/>
    <w:rsid w:val="00D352A1"/>
    <w:rsid w:val="00D35532"/>
    <w:rsid w:val="00D358D4"/>
    <w:rsid w:val="00D36246"/>
    <w:rsid w:val="00D36FA7"/>
    <w:rsid w:val="00D379D1"/>
    <w:rsid w:val="00D414FB"/>
    <w:rsid w:val="00D43414"/>
    <w:rsid w:val="00D43569"/>
    <w:rsid w:val="00D439BC"/>
    <w:rsid w:val="00D448A0"/>
    <w:rsid w:val="00D4504D"/>
    <w:rsid w:val="00D45178"/>
    <w:rsid w:val="00D457DF"/>
    <w:rsid w:val="00D45B8A"/>
    <w:rsid w:val="00D46E71"/>
    <w:rsid w:val="00D46ED2"/>
    <w:rsid w:val="00D476B2"/>
    <w:rsid w:val="00D47BBE"/>
    <w:rsid w:val="00D47C7D"/>
    <w:rsid w:val="00D5114A"/>
    <w:rsid w:val="00D51D95"/>
    <w:rsid w:val="00D524EA"/>
    <w:rsid w:val="00D52AB9"/>
    <w:rsid w:val="00D53747"/>
    <w:rsid w:val="00D54036"/>
    <w:rsid w:val="00D549A6"/>
    <w:rsid w:val="00D5640D"/>
    <w:rsid w:val="00D57195"/>
    <w:rsid w:val="00D57720"/>
    <w:rsid w:val="00D578EA"/>
    <w:rsid w:val="00D606F6"/>
    <w:rsid w:val="00D60A66"/>
    <w:rsid w:val="00D60F8C"/>
    <w:rsid w:val="00D61170"/>
    <w:rsid w:val="00D6161B"/>
    <w:rsid w:val="00D6192D"/>
    <w:rsid w:val="00D6197E"/>
    <w:rsid w:val="00D61BEC"/>
    <w:rsid w:val="00D62511"/>
    <w:rsid w:val="00D6297A"/>
    <w:rsid w:val="00D62B44"/>
    <w:rsid w:val="00D6383A"/>
    <w:rsid w:val="00D6392E"/>
    <w:rsid w:val="00D63C6B"/>
    <w:rsid w:val="00D6445A"/>
    <w:rsid w:val="00D65062"/>
    <w:rsid w:val="00D65736"/>
    <w:rsid w:val="00D65832"/>
    <w:rsid w:val="00D7011E"/>
    <w:rsid w:val="00D70524"/>
    <w:rsid w:val="00D70581"/>
    <w:rsid w:val="00D70C06"/>
    <w:rsid w:val="00D735CB"/>
    <w:rsid w:val="00D74872"/>
    <w:rsid w:val="00D76974"/>
    <w:rsid w:val="00D77534"/>
    <w:rsid w:val="00D80898"/>
    <w:rsid w:val="00D8154D"/>
    <w:rsid w:val="00D8177D"/>
    <w:rsid w:val="00D81AA1"/>
    <w:rsid w:val="00D81CE9"/>
    <w:rsid w:val="00D846D1"/>
    <w:rsid w:val="00D84F4C"/>
    <w:rsid w:val="00D85556"/>
    <w:rsid w:val="00D85C3E"/>
    <w:rsid w:val="00D86952"/>
    <w:rsid w:val="00D86999"/>
    <w:rsid w:val="00D86C8B"/>
    <w:rsid w:val="00D86E4A"/>
    <w:rsid w:val="00D872BE"/>
    <w:rsid w:val="00D87889"/>
    <w:rsid w:val="00D901CA"/>
    <w:rsid w:val="00D90F89"/>
    <w:rsid w:val="00D911E2"/>
    <w:rsid w:val="00D9150C"/>
    <w:rsid w:val="00D91BE5"/>
    <w:rsid w:val="00D91DA8"/>
    <w:rsid w:val="00D91E6E"/>
    <w:rsid w:val="00D92983"/>
    <w:rsid w:val="00D92DBA"/>
    <w:rsid w:val="00D94945"/>
    <w:rsid w:val="00D95C57"/>
    <w:rsid w:val="00D96286"/>
    <w:rsid w:val="00D96441"/>
    <w:rsid w:val="00D969F0"/>
    <w:rsid w:val="00D96F39"/>
    <w:rsid w:val="00DA0245"/>
    <w:rsid w:val="00DA02E0"/>
    <w:rsid w:val="00DA119E"/>
    <w:rsid w:val="00DA131D"/>
    <w:rsid w:val="00DA249C"/>
    <w:rsid w:val="00DA2884"/>
    <w:rsid w:val="00DA2EFC"/>
    <w:rsid w:val="00DA3607"/>
    <w:rsid w:val="00DA36AB"/>
    <w:rsid w:val="00DA378F"/>
    <w:rsid w:val="00DA3982"/>
    <w:rsid w:val="00DA3B30"/>
    <w:rsid w:val="00DA3B47"/>
    <w:rsid w:val="00DA73FD"/>
    <w:rsid w:val="00DA7594"/>
    <w:rsid w:val="00DB0EBD"/>
    <w:rsid w:val="00DB1B05"/>
    <w:rsid w:val="00DB306A"/>
    <w:rsid w:val="00DB3436"/>
    <w:rsid w:val="00DB34CE"/>
    <w:rsid w:val="00DB3A01"/>
    <w:rsid w:val="00DB3C79"/>
    <w:rsid w:val="00DB3EE9"/>
    <w:rsid w:val="00DB4593"/>
    <w:rsid w:val="00DB47FC"/>
    <w:rsid w:val="00DB4DB7"/>
    <w:rsid w:val="00DB540E"/>
    <w:rsid w:val="00DB57AF"/>
    <w:rsid w:val="00DB60F5"/>
    <w:rsid w:val="00DB6A7B"/>
    <w:rsid w:val="00DB6C2B"/>
    <w:rsid w:val="00DB7519"/>
    <w:rsid w:val="00DB7986"/>
    <w:rsid w:val="00DC0018"/>
    <w:rsid w:val="00DC01B7"/>
    <w:rsid w:val="00DC01E4"/>
    <w:rsid w:val="00DC0405"/>
    <w:rsid w:val="00DC0BD8"/>
    <w:rsid w:val="00DC231F"/>
    <w:rsid w:val="00DC28A2"/>
    <w:rsid w:val="00DC28A7"/>
    <w:rsid w:val="00DC391A"/>
    <w:rsid w:val="00DC3CF9"/>
    <w:rsid w:val="00DC4052"/>
    <w:rsid w:val="00DC4148"/>
    <w:rsid w:val="00DC41D3"/>
    <w:rsid w:val="00DC4295"/>
    <w:rsid w:val="00DC58CA"/>
    <w:rsid w:val="00DC6511"/>
    <w:rsid w:val="00DD0817"/>
    <w:rsid w:val="00DD0CCE"/>
    <w:rsid w:val="00DD138B"/>
    <w:rsid w:val="00DD19CA"/>
    <w:rsid w:val="00DD1CE3"/>
    <w:rsid w:val="00DD2795"/>
    <w:rsid w:val="00DD3C11"/>
    <w:rsid w:val="00DD47D4"/>
    <w:rsid w:val="00DD5453"/>
    <w:rsid w:val="00DD58E7"/>
    <w:rsid w:val="00DD5B37"/>
    <w:rsid w:val="00DD5B73"/>
    <w:rsid w:val="00DD5D43"/>
    <w:rsid w:val="00DD5E63"/>
    <w:rsid w:val="00DD6732"/>
    <w:rsid w:val="00DD7193"/>
    <w:rsid w:val="00DD7CE1"/>
    <w:rsid w:val="00DE04C1"/>
    <w:rsid w:val="00DE1CF4"/>
    <w:rsid w:val="00DE2677"/>
    <w:rsid w:val="00DE276A"/>
    <w:rsid w:val="00DE2AFD"/>
    <w:rsid w:val="00DE3072"/>
    <w:rsid w:val="00DE432B"/>
    <w:rsid w:val="00DE575C"/>
    <w:rsid w:val="00DE6446"/>
    <w:rsid w:val="00DE7E3E"/>
    <w:rsid w:val="00DE7E7F"/>
    <w:rsid w:val="00DE7F04"/>
    <w:rsid w:val="00DF0C54"/>
    <w:rsid w:val="00DF2288"/>
    <w:rsid w:val="00DF2D8E"/>
    <w:rsid w:val="00DF3288"/>
    <w:rsid w:val="00DF3D27"/>
    <w:rsid w:val="00DF4477"/>
    <w:rsid w:val="00DF477D"/>
    <w:rsid w:val="00DF4972"/>
    <w:rsid w:val="00DF5245"/>
    <w:rsid w:val="00DF5668"/>
    <w:rsid w:val="00DF5EEE"/>
    <w:rsid w:val="00DF7436"/>
    <w:rsid w:val="00DF7450"/>
    <w:rsid w:val="00DF7C1D"/>
    <w:rsid w:val="00E004C1"/>
    <w:rsid w:val="00E0057B"/>
    <w:rsid w:val="00E01391"/>
    <w:rsid w:val="00E027C6"/>
    <w:rsid w:val="00E02B89"/>
    <w:rsid w:val="00E03EB7"/>
    <w:rsid w:val="00E04A66"/>
    <w:rsid w:val="00E056B7"/>
    <w:rsid w:val="00E0608F"/>
    <w:rsid w:val="00E07BD4"/>
    <w:rsid w:val="00E107A4"/>
    <w:rsid w:val="00E113C0"/>
    <w:rsid w:val="00E1161A"/>
    <w:rsid w:val="00E11DFE"/>
    <w:rsid w:val="00E139BB"/>
    <w:rsid w:val="00E14083"/>
    <w:rsid w:val="00E1544B"/>
    <w:rsid w:val="00E15EC1"/>
    <w:rsid w:val="00E16363"/>
    <w:rsid w:val="00E17093"/>
    <w:rsid w:val="00E209E5"/>
    <w:rsid w:val="00E222AC"/>
    <w:rsid w:val="00E2333D"/>
    <w:rsid w:val="00E235E0"/>
    <w:rsid w:val="00E23BBE"/>
    <w:rsid w:val="00E23D2D"/>
    <w:rsid w:val="00E241BB"/>
    <w:rsid w:val="00E2429B"/>
    <w:rsid w:val="00E24AE7"/>
    <w:rsid w:val="00E256C6"/>
    <w:rsid w:val="00E2614E"/>
    <w:rsid w:val="00E263E2"/>
    <w:rsid w:val="00E26583"/>
    <w:rsid w:val="00E26770"/>
    <w:rsid w:val="00E31511"/>
    <w:rsid w:val="00E315F6"/>
    <w:rsid w:val="00E316F4"/>
    <w:rsid w:val="00E31876"/>
    <w:rsid w:val="00E32306"/>
    <w:rsid w:val="00E32A66"/>
    <w:rsid w:val="00E32E71"/>
    <w:rsid w:val="00E3313D"/>
    <w:rsid w:val="00E33FDA"/>
    <w:rsid w:val="00E34AA2"/>
    <w:rsid w:val="00E350CE"/>
    <w:rsid w:val="00E3578A"/>
    <w:rsid w:val="00E3616F"/>
    <w:rsid w:val="00E361DA"/>
    <w:rsid w:val="00E3728C"/>
    <w:rsid w:val="00E402BB"/>
    <w:rsid w:val="00E40E3E"/>
    <w:rsid w:val="00E42015"/>
    <w:rsid w:val="00E4282D"/>
    <w:rsid w:val="00E42ED0"/>
    <w:rsid w:val="00E4386E"/>
    <w:rsid w:val="00E43954"/>
    <w:rsid w:val="00E43FBD"/>
    <w:rsid w:val="00E4486D"/>
    <w:rsid w:val="00E45595"/>
    <w:rsid w:val="00E45EA2"/>
    <w:rsid w:val="00E4673F"/>
    <w:rsid w:val="00E467F7"/>
    <w:rsid w:val="00E4694A"/>
    <w:rsid w:val="00E50140"/>
    <w:rsid w:val="00E5093D"/>
    <w:rsid w:val="00E50C03"/>
    <w:rsid w:val="00E50C58"/>
    <w:rsid w:val="00E50D0E"/>
    <w:rsid w:val="00E50E7A"/>
    <w:rsid w:val="00E510D6"/>
    <w:rsid w:val="00E525D6"/>
    <w:rsid w:val="00E53523"/>
    <w:rsid w:val="00E54827"/>
    <w:rsid w:val="00E548B3"/>
    <w:rsid w:val="00E54A12"/>
    <w:rsid w:val="00E55588"/>
    <w:rsid w:val="00E56839"/>
    <w:rsid w:val="00E568E1"/>
    <w:rsid w:val="00E577AC"/>
    <w:rsid w:val="00E57BEC"/>
    <w:rsid w:val="00E6042A"/>
    <w:rsid w:val="00E604E3"/>
    <w:rsid w:val="00E609CF"/>
    <w:rsid w:val="00E61A64"/>
    <w:rsid w:val="00E62706"/>
    <w:rsid w:val="00E632AB"/>
    <w:rsid w:val="00E6333F"/>
    <w:rsid w:val="00E63502"/>
    <w:rsid w:val="00E644F0"/>
    <w:rsid w:val="00E64DA7"/>
    <w:rsid w:val="00E64FA7"/>
    <w:rsid w:val="00E661AA"/>
    <w:rsid w:val="00E6684F"/>
    <w:rsid w:val="00E672D1"/>
    <w:rsid w:val="00E71802"/>
    <w:rsid w:val="00E71927"/>
    <w:rsid w:val="00E71DE8"/>
    <w:rsid w:val="00E73577"/>
    <w:rsid w:val="00E73EF5"/>
    <w:rsid w:val="00E74364"/>
    <w:rsid w:val="00E75603"/>
    <w:rsid w:val="00E76411"/>
    <w:rsid w:val="00E767B7"/>
    <w:rsid w:val="00E76ABC"/>
    <w:rsid w:val="00E76C83"/>
    <w:rsid w:val="00E771CE"/>
    <w:rsid w:val="00E7767A"/>
    <w:rsid w:val="00E80174"/>
    <w:rsid w:val="00E8047F"/>
    <w:rsid w:val="00E80697"/>
    <w:rsid w:val="00E81779"/>
    <w:rsid w:val="00E82269"/>
    <w:rsid w:val="00E82457"/>
    <w:rsid w:val="00E82601"/>
    <w:rsid w:val="00E82CB0"/>
    <w:rsid w:val="00E8377C"/>
    <w:rsid w:val="00E838D1"/>
    <w:rsid w:val="00E83FB7"/>
    <w:rsid w:val="00E848F7"/>
    <w:rsid w:val="00E859F5"/>
    <w:rsid w:val="00E85CBC"/>
    <w:rsid w:val="00E8649A"/>
    <w:rsid w:val="00E86606"/>
    <w:rsid w:val="00E8672E"/>
    <w:rsid w:val="00E8717C"/>
    <w:rsid w:val="00E873B2"/>
    <w:rsid w:val="00E879D4"/>
    <w:rsid w:val="00E87F0E"/>
    <w:rsid w:val="00E903CD"/>
    <w:rsid w:val="00E91428"/>
    <w:rsid w:val="00E9147D"/>
    <w:rsid w:val="00E925AE"/>
    <w:rsid w:val="00E92716"/>
    <w:rsid w:val="00E92A3C"/>
    <w:rsid w:val="00E9372D"/>
    <w:rsid w:val="00E9379B"/>
    <w:rsid w:val="00E93BC4"/>
    <w:rsid w:val="00E943DD"/>
    <w:rsid w:val="00E9481A"/>
    <w:rsid w:val="00E94834"/>
    <w:rsid w:val="00E9489E"/>
    <w:rsid w:val="00E95438"/>
    <w:rsid w:val="00E95937"/>
    <w:rsid w:val="00E95A92"/>
    <w:rsid w:val="00E964C6"/>
    <w:rsid w:val="00E9719D"/>
    <w:rsid w:val="00E9722C"/>
    <w:rsid w:val="00EA0875"/>
    <w:rsid w:val="00EA092F"/>
    <w:rsid w:val="00EA0E13"/>
    <w:rsid w:val="00EA186F"/>
    <w:rsid w:val="00EA1AE6"/>
    <w:rsid w:val="00EA2015"/>
    <w:rsid w:val="00EA24A6"/>
    <w:rsid w:val="00EA2CF4"/>
    <w:rsid w:val="00EA37F0"/>
    <w:rsid w:val="00EA3DF8"/>
    <w:rsid w:val="00EA4641"/>
    <w:rsid w:val="00EA4AF1"/>
    <w:rsid w:val="00EA60E8"/>
    <w:rsid w:val="00EA6508"/>
    <w:rsid w:val="00EA683C"/>
    <w:rsid w:val="00EA6A4A"/>
    <w:rsid w:val="00EA7372"/>
    <w:rsid w:val="00EA7909"/>
    <w:rsid w:val="00EB04B8"/>
    <w:rsid w:val="00EB078A"/>
    <w:rsid w:val="00EB0992"/>
    <w:rsid w:val="00EB0BEF"/>
    <w:rsid w:val="00EB1F11"/>
    <w:rsid w:val="00EB26B7"/>
    <w:rsid w:val="00EB2979"/>
    <w:rsid w:val="00EB2F38"/>
    <w:rsid w:val="00EB34FF"/>
    <w:rsid w:val="00EB504A"/>
    <w:rsid w:val="00EB5069"/>
    <w:rsid w:val="00EB5238"/>
    <w:rsid w:val="00EB5F7F"/>
    <w:rsid w:val="00EB60D5"/>
    <w:rsid w:val="00EB65E9"/>
    <w:rsid w:val="00EB6DE2"/>
    <w:rsid w:val="00EB78D0"/>
    <w:rsid w:val="00EB7900"/>
    <w:rsid w:val="00EC00AB"/>
    <w:rsid w:val="00EC03B3"/>
    <w:rsid w:val="00EC07E1"/>
    <w:rsid w:val="00EC0842"/>
    <w:rsid w:val="00EC16A5"/>
    <w:rsid w:val="00EC1B9E"/>
    <w:rsid w:val="00EC20C5"/>
    <w:rsid w:val="00EC23F6"/>
    <w:rsid w:val="00EC283D"/>
    <w:rsid w:val="00EC2DA6"/>
    <w:rsid w:val="00EC4273"/>
    <w:rsid w:val="00EC4B9F"/>
    <w:rsid w:val="00EC4D7A"/>
    <w:rsid w:val="00EC4E83"/>
    <w:rsid w:val="00EC6238"/>
    <w:rsid w:val="00EC7E70"/>
    <w:rsid w:val="00ED0209"/>
    <w:rsid w:val="00ED0659"/>
    <w:rsid w:val="00ED0672"/>
    <w:rsid w:val="00ED0C42"/>
    <w:rsid w:val="00ED0FCD"/>
    <w:rsid w:val="00ED1DA5"/>
    <w:rsid w:val="00ED2320"/>
    <w:rsid w:val="00ED2BC8"/>
    <w:rsid w:val="00ED2D08"/>
    <w:rsid w:val="00ED3217"/>
    <w:rsid w:val="00ED3265"/>
    <w:rsid w:val="00ED37FF"/>
    <w:rsid w:val="00ED55F3"/>
    <w:rsid w:val="00ED6406"/>
    <w:rsid w:val="00ED64BF"/>
    <w:rsid w:val="00ED6FAA"/>
    <w:rsid w:val="00ED7CA9"/>
    <w:rsid w:val="00EE04DE"/>
    <w:rsid w:val="00EE0552"/>
    <w:rsid w:val="00EE0D7A"/>
    <w:rsid w:val="00EE21E2"/>
    <w:rsid w:val="00EE2D0C"/>
    <w:rsid w:val="00EE4A75"/>
    <w:rsid w:val="00EE51FC"/>
    <w:rsid w:val="00EE60F4"/>
    <w:rsid w:val="00EE6E2F"/>
    <w:rsid w:val="00EE730B"/>
    <w:rsid w:val="00EF247F"/>
    <w:rsid w:val="00EF26D1"/>
    <w:rsid w:val="00EF2F2A"/>
    <w:rsid w:val="00EF360A"/>
    <w:rsid w:val="00EF3BDE"/>
    <w:rsid w:val="00EF4522"/>
    <w:rsid w:val="00EF5FF9"/>
    <w:rsid w:val="00EF773E"/>
    <w:rsid w:val="00F0075C"/>
    <w:rsid w:val="00F00901"/>
    <w:rsid w:val="00F01B34"/>
    <w:rsid w:val="00F02EFF"/>
    <w:rsid w:val="00F0372D"/>
    <w:rsid w:val="00F042D6"/>
    <w:rsid w:val="00F0561F"/>
    <w:rsid w:val="00F05B3C"/>
    <w:rsid w:val="00F05E5B"/>
    <w:rsid w:val="00F10ACE"/>
    <w:rsid w:val="00F11275"/>
    <w:rsid w:val="00F1140E"/>
    <w:rsid w:val="00F116FD"/>
    <w:rsid w:val="00F11AAA"/>
    <w:rsid w:val="00F11C79"/>
    <w:rsid w:val="00F11FB4"/>
    <w:rsid w:val="00F127F3"/>
    <w:rsid w:val="00F128F5"/>
    <w:rsid w:val="00F12998"/>
    <w:rsid w:val="00F12C7E"/>
    <w:rsid w:val="00F12CCF"/>
    <w:rsid w:val="00F133DB"/>
    <w:rsid w:val="00F13411"/>
    <w:rsid w:val="00F14590"/>
    <w:rsid w:val="00F14C53"/>
    <w:rsid w:val="00F14E0C"/>
    <w:rsid w:val="00F14FD8"/>
    <w:rsid w:val="00F1626E"/>
    <w:rsid w:val="00F170FF"/>
    <w:rsid w:val="00F17BA7"/>
    <w:rsid w:val="00F17E17"/>
    <w:rsid w:val="00F203C4"/>
    <w:rsid w:val="00F20CAE"/>
    <w:rsid w:val="00F2144C"/>
    <w:rsid w:val="00F214A5"/>
    <w:rsid w:val="00F221AB"/>
    <w:rsid w:val="00F22A59"/>
    <w:rsid w:val="00F238D3"/>
    <w:rsid w:val="00F23B04"/>
    <w:rsid w:val="00F24A0A"/>
    <w:rsid w:val="00F24C69"/>
    <w:rsid w:val="00F25632"/>
    <w:rsid w:val="00F26E96"/>
    <w:rsid w:val="00F26EE0"/>
    <w:rsid w:val="00F31F51"/>
    <w:rsid w:val="00F325D5"/>
    <w:rsid w:val="00F33B5B"/>
    <w:rsid w:val="00F3494F"/>
    <w:rsid w:val="00F35204"/>
    <w:rsid w:val="00F356FB"/>
    <w:rsid w:val="00F36205"/>
    <w:rsid w:val="00F3675A"/>
    <w:rsid w:val="00F36BD8"/>
    <w:rsid w:val="00F37791"/>
    <w:rsid w:val="00F37B63"/>
    <w:rsid w:val="00F37CB7"/>
    <w:rsid w:val="00F37FB0"/>
    <w:rsid w:val="00F40621"/>
    <w:rsid w:val="00F407B1"/>
    <w:rsid w:val="00F41240"/>
    <w:rsid w:val="00F412C8"/>
    <w:rsid w:val="00F41626"/>
    <w:rsid w:val="00F41AC8"/>
    <w:rsid w:val="00F42333"/>
    <w:rsid w:val="00F427D7"/>
    <w:rsid w:val="00F42A7C"/>
    <w:rsid w:val="00F42E33"/>
    <w:rsid w:val="00F443DC"/>
    <w:rsid w:val="00F4443C"/>
    <w:rsid w:val="00F45727"/>
    <w:rsid w:val="00F468FD"/>
    <w:rsid w:val="00F507E4"/>
    <w:rsid w:val="00F508FD"/>
    <w:rsid w:val="00F51316"/>
    <w:rsid w:val="00F51FFA"/>
    <w:rsid w:val="00F5413F"/>
    <w:rsid w:val="00F54A13"/>
    <w:rsid w:val="00F55730"/>
    <w:rsid w:val="00F56B2B"/>
    <w:rsid w:val="00F60300"/>
    <w:rsid w:val="00F60587"/>
    <w:rsid w:val="00F607DA"/>
    <w:rsid w:val="00F60C2F"/>
    <w:rsid w:val="00F60E24"/>
    <w:rsid w:val="00F610DA"/>
    <w:rsid w:val="00F61A64"/>
    <w:rsid w:val="00F62000"/>
    <w:rsid w:val="00F6200D"/>
    <w:rsid w:val="00F640B1"/>
    <w:rsid w:val="00F64AA4"/>
    <w:rsid w:val="00F658E8"/>
    <w:rsid w:val="00F669F7"/>
    <w:rsid w:val="00F70722"/>
    <w:rsid w:val="00F70D4D"/>
    <w:rsid w:val="00F71801"/>
    <w:rsid w:val="00F7264E"/>
    <w:rsid w:val="00F72788"/>
    <w:rsid w:val="00F73DE9"/>
    <w:rsid w:val="00F74453"/>
    <w:rsid w:val="00F74B19"/>
    <w:rsid w:val="00F75F00"/>
    <w:rsid w:val="00F76629"/>
    <w:rsid w:val="00F76FF5"/>
    <w:rsid w:val="00F77A60"/>
    <w:rsid w:val="00F77EED"/>
    <w:rsid w:val="00F80112"/>
    <w:rsid w:val="00F80830"/>
    <w:rsid w:val="00F81BD7"/>
    <w:rsid w:val="00F8232C"/>
    <w:rsid w:val="00F835CF"/>
    <w:rsid w:val="00F83BA7"/>
    <w:rsid w:val="00F83BB3"/>
    <w:rsid w:val="00F83CC4"/>
    <w:rsid w:val="00F8463B"/>
    <w:rsid w:val="00F852F5"/>
    <w:rsid w:val="00F857C1"/>
    <w:rsid w:val="00F857F1"/>
    <w:rsid w:val="00F85D6C"/>
    <w:rsid w:val="00F86083"/>
    <w:rsid w:val="00F86590"/>
    <w:rsid w:val="00F87ADB"/>
    <w:rsid w:val="00F87BAE"/>
    <w:rsid w:val="00F87C27"/>
    <w:rsid w:val="00F87EBB"/>
    <w:rsid w:val="00F90675"/>
    <w:rsid w:val="00F908E2"/>
    <w:rsid w:val="00F9117F"/>
    <w:rsid w:val="00F91F24"/>
    <w:rsid w:val="00F93012"/>
    <w:rsid w:val="00F93C44"/>
    <w:rsid w:val="00F9465B"/>
    <w:rsid w:val="00F94D43"/>
    <w:rsid w:val="00F95DA2"/>
    <w:rsid w:val="00F95DE2"/>
    <w:rsid w:val="00F9633D"/>
    <w:rsid w:val="00F96E00"/>
    <w:rsid w:val="00F97529"/>
    <w:rsid w:val="00F978FE"/>
    <w:rsid w:val="00FA02DB"/>
    <w:rsid w:val="00FA04C1"/>
    <w:rsid w:val="00FA09B9"/>
    <w:rsid w:val="00FA2EBB"/>
    <w:rsid w:val="00FA2F91"/>
    <w:rsid w:val="00FA3355"/>
    <w:rsid w:val="00FA3FA8"/>
    <w:rsid w:val="00FA4110"/>
    <w:rsid w:val="00FA43A9"/>
    <w:rsid w:val="00FA4859"/>
    <w:rsid w:val="00FA4D45"/>
    <w:rsid w:val="00FA5B19"/>
    <w:rsid w:val="00FA5C18"/>
    <w:rsid w:val="00FB1216"/>
    <w:rsid w:val="00FB13B3"/>
    <w:rsid w:val="00FB175C"/>
    <w:rsid w:val="00FB18A0"/>
    <w:rsid w:val="00FB18CD"/>
    <w:rsid w:val="00FB1C4B"/>
    <w:rsid w:val="00FB25C5"/>
    <w:rsid w:val="00FB3103"/>
    <w:rsid w:val="00FB42B5"/>
    <w:rsid w:val="00FB47D7"/>
    <w:rsid w:val="00FB4A12"/>
    <w:rsid w:val="00FB55CB"/>
    <w:rsid w:val="00FB570A"/>
    <w:rsid w:val="00FB68C8"/>
    <w:rsid w:val="00FB6961"/>
    <w:rsid w:val="00FB6A77"/>
    <w:rsid w:val="00FC0531"/>
    <w:rsid w:val="00FC095A"/>
    <w:rsid w:val="00FC11CB"/>
    <w:rsid w:val="00FC143C"/>
    <w:rsid w:val="00FC1E65"/>
    <w:rsid w:val="00FC2F0C"/>
    <w:rsid w:val="00FC321D"/>
    <w:rsid w:val="00FC3785"/>
    <w:rsid w:val="00FC4F97"/>
    <w:rsid w:val="00FC5218"/>
    <w:rsid w:val="00FC5CF5"/>
    <w:rsid w:val="00FC68C3"/>
    <w:rsid w:val="00FD056E"/>
    <w:rsid w:val="00FD0690"/>
    <w:rsid w:val="00FD0BB0"/>
    <w:rsid w:val="00FD2285"/>
    <w:rsid w:val="00FD2C9F"/>
    <w:rsid w:val="00FD3C95"/>
    <w:rsid w:val="00FD4F36"/>
    <w:rsid w:val="00FD51C0"/>
    <w:rsid w:val="00FD52D1"/>
    <w:rsid w:val="00FD5468"/>
    <w:rsid w:val="00FD5770"/>
    <w:rsid w:val="00FD61C0"/>
    <w:rsid w:val="00FD7DD2"/>
    <w:rsid w:val="00FE0CF5"/>
    <w:rsid w:val="00FE0E9D"/>
    <w:rsid w:val="00FE0EB0"/>
    <w:rsid w:val="00FE23B4"/>
    <w:rsid w:val="00FE2475"/>
    <w:rsid w:val="00FE297B"/>
    <w:rsid w:val="00FE436C"/>
    <w:rsid w:val="00FE4738"/>
    <w:rsid w:val="00FE5E6D"/>
    <w:rsid w:val="00FE64E8"/>
    <w:rsid w:val="00FF04C8"/>
    <w:rsid w:val="00FF0FD2"/>
    <w:rsid w:val="00FF1276"/>
    <w:rsid w:val="00FF285E"/>
    <w:rsid w:val="00FF5FDA"/>
    <w:rsid w:val="00FF6A74"/>
    <w:rsid w:val="00FF75FF"/>
    <w:rsid w:val="00FF79D7"/>
    <w:rsid w:val="00FF7ACE"/>
    <w:rsid w:val="00FF7D27"/>
    <w:rsid w:val="01395328"/>
    <w:rsid w:val="015E067B"/>
    <w:rsid w:val="016D6A79"/>
    <w:rsid w:val="0189490D"/>
    <w:rsid w:val="01D5336F"/>
    <w:rsid w:val="02154E93"/>
    <w:rsid w:val="02236BCA"/>
    <w:rsid w:val="02336B98"/>
    <w:rsid w:val="02385252"/>
    <w:rsid w:val="023A4EE8"/>
    <w:rsid w:val="0241112F"/>
    <w:rsid w:val="02B549BA"/>
    <w:rsid w:val="02EF5762"/>
    <w:rsid w:val="03420B52"/>
    <w:rsid w:val="03771A2E"/>
    <w:rsid w:val="038527FC"/>
    <w:rsid w:val="03E44007"/>
    <w:rsid w:val="03F90EEE"/>
    <w:rsid w:val="04045903"/>
    <w:rsid w:val="043D54AD"/>
    <w:rsid w:val="044F0DDF"/>
    <w:rsid w:val="04593ED7"/>
    <w:rsid w:val="048016F3"/>
    <w:rsid w:val="04A158D4"/>
    <w:rsid w:val="04B50820"/>
    <w:rsid w:val="04C86695"/>
    <w:rsid w:val="04D34865"/>
    <w:rsid w:val="04DF0A6C"/>
    <w:rsid w:val="052E5871"/>
    <w:rsid w:val="0538078D"/>
    <w:rsid w:val="0547636F"/>
    <w:rsid w:val="0590137A"/>
    <w:rsid w:val="059526A5"/>
    <w:rsid w:val="059C49CE"/>
    <w:rsid w:val="05A306A2"/>
    <w:rsid w:val="05CD131D"/>
    <w:rsid w:val="063B41E7"/>
    <w:rsid w:val="06444B79"/>
    <w:rsid w:val="0656571E"/>
    <w:rsid w:val="06692EC2"/>
    <w:rsid w:val="067536D1"/>
    <w:rsid w:val="068E1959"/>
    <w:rsid w:val="06BD667B"/>
    <w:rsid w:val="06C97850"/>
    <w:rsid w:val="06D24886"/>
    <w:rsid w:val="06D921BA"/>
    <w:rsid w:val="06F25FB9"/>
    <w:rsid w:val="06FC36FB"/>
    <w:rsid w:val="071F3FF8"/>
    <w:rsid w:val="07443208"/>
    <w:rsid w:val="074B11BB"/>
    <w:rsid w:val="076718B7"/>
    <w:rsid w:val="0774377B"/>
    <w:rsid w:val="078E41C3"/>
    <w:rsid w:val="079D5349"/>
    <w:rsid w:val="07FA3D13"/>
    <w:rsid w:val="083221D6"/>
    <w:rsid w:val="08480002"/>
    <w:rsid w:val="085B3DB3"/>
    <w:rsid w:val="08C75A28"/>
    <w:rsid w:val="08F9393D"/>
    <w:rsid w:val="090B1C12"/>
    <w:rsid w:val="09471442"/>
    <w:rsid w:val="09671A02"/>
    <w:rsid w:val="09756AB1"/>
    <w:rsid w:val="09A63865"/>
    <w:rsid w:val="09CA5F57"/>
    <w:rsid w:val="0A2B7EBB"/>
    <w:rsid w:val="0A385D8C"/>
    <w:rsid w:val="0A5614A9"/>
    <w:rsid w:val="0A610BA2"/>
    <w:rsid w:val="0A6659E5"/>
    <w:rsid w:val="0A7D05F8"/>
    <w:rsid w:val="0AA11105"/>
    <w:rsid w:val="0AAA0B94"/>
    <w:rsid w:val="0AFF4F9B"/>
    <w:rsid w:val="0B1B18FE"/>
    <w:rsid w:val="0B2E6BE3"/>
    <w:rsid w:val="0B2F4F7F"/>
    <w:rsid w:val="0B3F3B67"/>
    <w:rsid w:val="0B7902BE"/>
    <w:rsid w:val="0B85177A"/>
    <w:rsid w:val="0B92140A"/>
    <w:rsid w:val="0B9342F2"/>
    <w:rsid w:val="0BBD2434"/>
    <w:rsid w:val="0BD9091E"/>
    <w:rsid w:val="0BE66D2B"/>
    <w:rsid w:val="0BF45F23"/>
    <w:rsid w:val="0C341D7D"/>
    <w:rsid w:val="0C5F2300"/>
    <w:rsid w:val="0C647A3B"/>
    <w:rsid w:val="0C932E72"/>
    <w:rsid w:val="0C9F61FA"/>
    <w:rsid w:val="0CAB668A"/>
    <w:rsid w:val="0CF331C9"/>
    <w:rsid w:val="0D0D5BDE"/>
    <w:rsid w:val="0D4C6D15"/>
    <w:rsid w:val="0D5C3E21"/>
    <w:rsid w:val="0DBF1554"/>
    <w:rsid w:val="0DF12629"/>
    <w:rsid w:val="0E1F49F5"/>
    <w:rsid w:val="0E287A4A"/>
    <w:rsid w:val="0E372937"/>
    <w:rsid w:val="0E4E1FC6"/>
    <w:rsid w:val="0E9D7898"/>
    <w:rsid w:val="0EA0348E"/>
    <w:rsid w:val="0EAD128E"/>
    <w:rsid w:val="0EB8205E"/>
    <w:rsid w:val="0ECC5BB2"/>
    <w:rsid w:val="0EE04661"/>
    <w:rsid w:val="0EE603E4"/>
    <w:rsid w:val="0EF01280"/>
    <w:rsid w:val="0EFE599D"/>
    <w:rsid w:val="0F202384"/>
    <w:rsid w:val="0F713150"/>
    <w:rsid w:val="0FA96A9F"/>
    <w:rsid w:val="0FC97864"/>
    <w:rsid w:val="0FCA3E52"/>
    <w:rsid w:val="0FDF7C19"/>
    <w:rsid w:val="0FEA54EA"/>
    <w:rsid w:val="0FEE5E2C"/>
    <w:rsid w:val="0FF160C7"/>
    <w:rsid w:val="103F1F4D"/>
    <w:rsid w:val="107026EC"/>
    <w:rsid w:val="108E57BE"/>
    <w:rsid w:val="10D02FB2"/>
    <w:rsid w:val="10E61065"/>
    <w:rsid w:val="10EF4A3E"/>
    <w:rsid w:val="110D79DD"/>
    <w:rsid w:val="11184513"/>
    <w:rsid w:val="112F04F1"/>
    <w:rsid w:val="11423D0A"/>
    <w:rsid w:val="116F19CF"/>
    <w:rsid w:val="11820567"/>
    <w:rsid w:val="11832AAA"/>
    <w:rsid w:val="11AE7D96"/>
    <w:rsid w:val="11C5731A"/>
    <w:rsid w:val="11C90650"/>
    <w:rsid w:val="11DD54CA"/>
    <w:rsid w:val="123D5A21"/>
    <w:rsid w:val="1275228A"/>
    <w:rsid w:val="12943A37"/>
    <w:rsid w:val="12D07CF0"/>
    <w:rsid w:val="12E76D6E"/>
    <w:rsid w:val="12F47048"/>
    <w:rsid w:val="136F63BE"/>
    <w:rsid w:val="13EF01F1"/>
    <w:rsid w:val="13F92515"/>
    <w:rsid w:val="141D276F"/>
    <w:rsid w:val="142E580E"/>
    <w:rsid w:val="14400CA4"/>
    <w:rsid w:val="144305D6"/>
    <w:rsid w:val="145F2090"/>
    <w:rsid w:val="14782641"/>
    <w:rsid w:val="14892201"/>
    <w:rsid w:val="149D56C6"/>
    <w:rsid w:val="14A82039"/>
    <w:rsid w:val="14B26B47"/>
    <w:rsid w:val="14BA4461"/>
    <w:rsid w:val="14D77946"/>
    <w:rsid w:val="14F40E1E"/>
    <w:rsid w:val="151F4F3C"/>
    <w:rsid w:val="15260086"/>
    <w:rsid w:val="15511C3C"/>
    <w:rsid w:val="15897D25"/>
    <w:rsid w:val="158F4B86"/>
    <w:rsid w:val="15924D0F"/>
    <w:rsid w:val="15A47D5A"/>
    <w:rsid w:val="15CD60FB"/>
    <w:rsid w:val="1610052F"/>
    <w:rsid w:val="164146DB"/>
    <w:rsid w:val="16576DCE"/>
    <w:rsid w:val="166945DC"/>
    <w:rsid w:val="16827888"/>
    <w:rsid w:val="16D613CF"/>
    <w:rsid w:val="16D92514"/>
    <w:rsid w:val="171F3DC2"/>
    <w:rsid w:val="1722335B"/>
    <w:rsid w:val="173E1D4B"/>
    <w:rsid w:val="174B2B12"/>
    <w:rsid w:val="176A6DB3"/>
    <w:rsid w:val="177442E8"/>
    <w:rsid w:val="1787681D"/>
    <w:rsid w:val="178775DC"/>
    <w:rsid w:val="178F0BD8"/>
    <w:rsid w:val="17963DD6"/>
    <w:rsid w:val="179F6CB4"/>
    <w:rsid w:val="17A16D05"/>
    <w:rsid w:val="17B41BF9"/>
    <w:rsid w:val="17F93811"/>
    <w:rsid w:val="17FC3270"/>
    <w:rsid w:val="18033730"/>
    <w:rsid w:val="182D3889"/>
    <w:rsid w:val="18491F1B"/>
    <w:rsid w:val="184B19C1"/>
    <w:rsid w:val="187F1E28"/>
    <w:rsid w:val="188D4F7A"/>
    <w:rsid w:val="18B35C28"/>
    <w:rsid w:val="18EF50D1"/>
    <w:rsid w:val="19437E9C"/>
    <w:rsid w:val="197E4753"/>
    <w:rsid w:val="198B77EE"/>
    <w:rsid w:val="19C630ED"/>
    <w:rsid w:val="19C76DC1"/>
    <w:rsid w:val="19DB18FE"/>
    <w:rsid w:val="1A125C5A"/>
    <w:rsid w:val="1A2533B1"/>
    <w:rsid w:val="1A2B6426"/>
    <w:rsid w:val="1A565D8A"/>
    <w:rsid w:val="1A86037C"/>
    <w:rsid w:val="1A9770A6"/>
    <w:rsid w:val="1A977635"/>
    <w:rsid w:val="1ABA053C"/>
    <w:rsid w:val="1AC6550E"/>
    <w:rsid w:val="1AF70673"/>
    <w:rsid w:val="1AFB769E"/>
    <w:rsid w:val="1B04694D"/>
    <w:rsid w:val="1B131630"/>
    <w:rsid w:val="1B1E13A4"/>
    <w:rsid w:val="1B525F0F"/>
    <w:rsid w:val="1B73014B"/>
    <w:rsid w:val="1BF877D1"/>
    <w:rsid w:val="1C224837"/>
    <w:rsid w:val="1C327D15"/>
    <w:rsid w:val="1C9417E4"/>
    <w:rsid w:val="1CF37F1E"/>
    <w:rsid w:val="1D551A79"/>
    <w:rsid w:val="1D5559B4"/>
    <w:rsid w:val="1D876DBF"/>
    <w:rsid w:val="1DA2552F"/>
    <w:rsid w:val="1DB13337"/>
    <w:rsid w:val="1DBD2B2D"/>
    <w:rsid w:val="1DCD6D38"/>
    <w:rsid w:val="1E0850F8"/>
    <w:rsid w:val="1E387DCD"/>
    <w:rsid w:val="1E7439E1"/>
    <w:rsid w:val="1EC80A70"/>
    <w:rsid w:val="1EFE7D85"/>
    <w:rsid w:val="1F17104E"/>
    <w:rsid w:val="1F175D86"/>
    <w:rsid w:val="1F460D14"/>
    <w:rsid w:val="1F51459D"/>
    <w:rsid w:val="1F6F7A22"/>
    <w:rsid w:val="1F723AC6"/>
    <w:rsid w:val="1F9A36B9"/>
    <w:rsid w:val="1FB276F5"/>
    <w:rsid w:val="1FC90831"/>
    <w:rsid w:val="1FD648F6"/>
    <w:rsid w:val="20052AA1"/>
    <w:rsid w:val="2056329D"/>
    <w:rsid w:val="20611D0E"/>
    <w:rsid w:val="20795B11"/>
    <w:rsid w:val="20AF151F"/>
    <w:rsid w:val="20B23386"/>
    <w:rsid w:val="20E16D08"/>
    <w:rsid w:val="2133612B"/>
    <w:rsid w:val="216A7D6E"/>
    <w:rsid w:val="216F62D8"/>
    <w:rsid w:val="2176421D"/>
    <w:rsid w:val="217B4A99"/>
    <w:rsid w:val="21885A20"/>
    <w:rsid w:val="22335185"/>
    <w:rsid w:val="22385B99"/>
    <w:rsid w:val="22586DF5"/>
    <w:rsid w:val="2261210F"/>
    <w:rsid w:val="227F45EC"/>
    <w:rsid w:val="22880355"/>
    <w:rsid w:val="229638B0"/>
    <w:rsid w:val="229D4A85"/>
    <w:rsid w:val="22C81F36"/>
    <w:rsid w:val="22E018AA"/>
    <w:rsid w:val="22F63289"/>
    <w:rsid w:val="23134AA1"/>
    <w:rsid w:val="231F63EE"/>
    <w:rsid w:val="23277592"/>
    <w:rsid w:val="233A44B2"/>
    <w:rsid w:val="23505986"/>
    <w:rsid w:val="235D3F31"/>
    <w:rsid w:val="237E345D"/>
    <w:rsid w:val="23E407B9"/>
    <w:rsid w:val="242655FB"/>
    <w:rsid w:val="24290295"/>
    <w:rsid w:val="244E1971"/>
    <w:rsid w:val="24A9084B"/>
    <w:rsid w:val="24C41137"/>
    <w:rsid w:val="251B2BF5"/>
    <w:rsid w:val="253343BA"/>
    <w:rsid w:val="253C4A71"/>
    <w:rsid w:val="25475CC6"/>
    <w:rsid w:val="255160CE"/>
    <w:rsid w:val="2556094D"/>
    <w:rsid w:val="257A2395"/>
    <w:rsid w:val="25825548"/>
    <w:rsid w:val="25B90FC9"/>
    <w:rsid w:val="25B96FB2"/>
    <w:rsid w:val="25BC02BA"/>
    <w:rsid w:val="25CD2550"/>
    <w:rsid w:val="26191F0D"/>
    <w:rsid w:val="2674065C"/>
    <w:rsid w:val="26965BE5"/>
    <w:rsid w:val="26982B2A"/>
    <w:rsid w:val="26CF7641"/>
    <w:rsid w:val="26E929B0"/>
    <w:rsid w:val="27247391"/>
    <w:rsid w:val="27E622B9"/>
    <w:rsid w:val="28017ADF"/>
    <w:rsid w:val="280F6358"/>
    <w:rsid w:val="2823687C"/>
    <w:rsid w:val="287A1BAB"/>
    <w:rsid w:val="28924AE3"/>
    <w:rsid w:val="2895715D"/>
    <w:rsid w:val="289801CB"/>
    <w:rsid w:val="28FB7B25"/>
    <w:rsid w:val="29084217"/>
    <w:rsid w:val="295D6810"/>
    <w:rsid w:val="29763310"/>
    <w:rsid w:val="29844183"/>
    <w:rsid w:val="29B14C0C"/>
    <w:rsid w:val="29CF01C8"/>
    <w:rsid w:val="29D60A75"/>
    <w:rsid w:val="29F9207C"/>
    <w:rsid w:val="2A013DC8"/>
    <w:rsid w:val="2A174707"/>
    <w:rsid w:val="2A3675C6"/>
    <w:rsid w:val="2A4F100E"/>
    <w:rsid w:val="2A646E80"/>
    <w:rsid w:val="2AA90E7C"/>
    <w:rsid w:val="2AD85C54"/>
    <w:rsid w:val="2B245626"/>
    <w:rsid w:val="2B2C1B81"/>
    <w:rsid w:val="2B490F99"/>
    <w:rsid w:val="2B4F407E"/>
    <w:rsid w:val="2B8742F0"/>
    <w:rsid w:val="2B8A74A4"/>
    <w:rsid w:val="2BF6600E"/>
    <w:rsid w:val="2C27406F"/>
    <w:rsid w:val="2C2B1591"/>
    <w:rsid w:val="2C80451A"/>
    <w:rsid w:val="2C845827"/>
    <w:rsid w:val="2C8B5877"/>
    <w:rsid w:val="2C970CD3"/>
    <w:rsid w:val="2C99366E"/>
    <w:rsid w:val="2CD43A9E"/>
    <w:rsid w:val="2CE134E1"/>
    <w:rsid w:val="2CE4511D"/>
    <w:rsid w:val="2D032492"/>
    <w:rsid w:val="2D1F46E2"/>
    <w:rsid w:val="2D2B53E8"/>
    <w:rsid w:val="2D46523B"/>
    <w:rsid w:val="2D797247"/>
    <w:rsid w:val="2D805BE8"/>
    <w:rsid w:val="2DE02F0E"/>
    <w:rsid w:val="2DEB14C6"/>
    <w:rsid w:val="2DFB5540"/>
    <w:rsid w:val="2E26598C"/>
    <w:rsid w:val="2E30352F"/>
    <w:rsid w:val="2E3563FE"/>
    <w:rsid w:val="2E530A3B"/>
    <w:rsid w:val="2E617687"/>
    <w:rsid w:val="2ED71745"/>
    <w:rsid w:val="2ED83C04"/>
    <w:rsid w:val="2F2723FF"/>
    <w:rsid w:val="2F3142AE"/>
    <w:rsid w:val="2F811DA2"/>
    <w:rsid w:val="2F8D547B"/>
    <w:rsid w:val="2F9F7792"/>
    <w:rsid w:val="2FFB25C5"/>
    <w:rsid w:val="30001C0A"/>
    <w:rsid w:val="30143EB1"/>
    <w:rsid w:val="303D2CC1"/>
    <w:rsid w:val="303E4E2D"/>
    <w:rsid w:val="3067798D"/>
    <w:rsid w:val="30AD3114"/>
    <w:rsid w:val="30B410CD"/>
    <w:rsid w:val="30DF129D"/>
    <w:rsid w:val="30E77FED"/>
    <w:rsid w:val="30F81295"/>
    <w:rsid w:val="312F3EEC"/>
    <w:rsid w:val="31474195"/>
    <w:rsid w:val="31B200B2"/>
    <w:rsid w:val="31B87C8F"/>
    <w:rsid w:val="31BC251A"/>
    <w:rsid w:val="31ED56A0"/>
    <w:rsid w:val="32264E7F"/>
    <w:rsid w:val="325F3F6B"/>
    <w:rsid w:val="32865B36"/>
    <w:rsid w:val="329C4B8B"/>
    <w:rsid w:val="33091CC4"/>
    <w:rsid w:val="33337639"/>
    <w:rsid w:val="33446EA2"/>
    <w:rsid w:val="334F552F"/>
    <w:rsid w:val="33592622"/>
    <w:rsid w:val="335F2FA8"/>
    <w:rsid w:val="337362F0"/>
    <w:rsid w:val="33815CBF"/>
    <w:rsid w:val="3391158F"/>
    <w:rsid w:val="33962FF3"/>
    <w:rsid w:val="33AD2EF5"/>
    <w:rsid w:val="33B54410"/>
    <w:rsid w:val="33E613F7"/>
    <w:rsid w:val="34265714"/>
    <w:rsid w:val="34316A8E"/>
    <w:rsid w:val="344A50C2"/>
    <w:rsid w:val="346F6F23"/>
    <w:rsid w:val="34B416ED"/>
    <w:rsid w:val="34C73AE4"/>
    <w:rsid w:val="34E63CEE"/>
    <w:rsid w:val="3505786F"/>
    <w:rsid w:val="350C751E"/>
    <w:rsid w:val="350D312B"/>
    <w:rsid w:val="351B0868"/>
    <w:rsid w:val="353144CB"/>
    <w:rsid w:val="354A2BB3"/>
    <w:rsid w:val="357A6227"/>
    <w:rsid w:val="358E5CA7"/>
    <w:rsid w:val="35A07518"/>
    <w:rsid w:val="35AC1D7A"/>
    <w:rsid w:val="35AF4AF5"/>
    <w:rsid w:val="360A5BF9"/>
    <w:rsid w:val="36116125"/>
    <w:rsid w:val="36221C05"/>
    <w:rsid w:val="363A3B4F"/>
    <w:rsid w:val="364D615E"/>
    <w:rsid w:val="366E2EA8"/>
    <w:rsid w:val="369164E9"/>
    <w:rsid w:val="373804ED"/>
    <w:rsid w:val="375C0207"/>
    <w:rsid w:val="37B75E14"/>
    <w:rsid w:val="37E27868"/>
    <w:rsid w:val="380137A5"/>
    <w:rsid w:val="38156E2A"/>
    <w:rsid w:val="38524FFB"/>
    <w:rsid w:val="386F18F2"/>
    <w:rsid w:val="38702BF4"/>
    <w:rsid w:val="38B17CCE"/>
    <w:rsid w:val="38B27053"/>
    <w:rsid w:val="38B91CF1"/>
    <w:rsid w:val="38D94DD5"/>
    <w:rsid w:val="38DD4B38"/>
    <w:rsid w:val="38E42B80"/>
    <w:rsid w:val="38FA49EB"/>
    <w:rsid w:val="39243B3B"/>
    <w:rsid w:val="39A433D9"/>
    <w:rsid w:val="39BF3377"/>
    <w:rsid w:val="39CB53A0"/>
    <w:rsid w:val="39DE7B47"/>
    <w:rsid w:val="39FB30CF"/>
    <w:rsid w:val="3A037BCA"/>
    <w:rsid w:val="3A0D4788"/>
    <w:rsid w:val="3A1637D2"/>
    <w:rsid w:val="3A476D28"/>
    <w:rsid w:val="3A692782"/>
    <w:rsid w:val="3A7F5964"/>
    <w:rsid w:val="3A8305F1"/>
    <w:rsid w:val="3A8B5B01"/>
    <w:rsid w:val="3AA966EE"/>
    <w:rsid w:val="3AAD1386"/>
    <w:rsid w:val="3AC554B1"/>
    <w:rsid w:val="3AE8709F"/>
    <w:rsid w:val="3AEB58D1"/>
    <w:rsid w:val="3B1C5AC3"/>
    <w:rsid w:val="3B3D7089"/>
    <w:rsid w:val="3B4C2F0A"/>
    <w:rsid w:val="3B587535"/>
    <w:rsid w:val="3B9E5858"/>
    <w:rsid w:val="3BBD215C"/>
    <w:rsid w:val="3BDF1BAD"/>
    <w:rsid w:val="3BFC281C"/>
    <w:rsid w:val="3C1D5373"/>
    <w:rsid w:val="3C303E13"/>
    <w:rsid w:val="3C36605F"/>
    <w:rsid w:val="3C3E105D"/>
    <w:rsid w:val="3C430A0F"/>
    <w:rsid w:val="3CDE36E0"/>
    <w:rsid w:val="3CEE24B3"/>
    <w:rsid w:val="3D1B66CC"/>
    <w:rsid w:val="3DB64AA5"/>
    <w:rsid w:val="3DBF4B06"/>
    <w:rsid w:val="3DD21067"/>
    <w:rsid w:val="3DE47E56"/>
    <w:rsid w:val="3E0A3D78"/>
    <w:rsid w:val="3E1C5A30"/>
    <w:rsid w:val="3E483C21"/>
    <w:rsid w:val="3E8E79D5"/>
    <w:rsid w:val="3E9C12DB"/>
    <w:rsid w:val="3EAF0F44"/>
    <w:rsid w:val="3EC0456A"/>
    <w:rsid w:val="3EC2190D"/>
    <w:rsid w:val="3F184167"/>
    <w:rsid w:val="3F5624AB"/>
    <w:rsid w:val="3F9B0AC0"/>
    <w:rsid w:val="3F9C0709"/>
    <w:rsid w:val="3FBB3E98"/>
    <w:rsid w:val="3FDC1FAC"/>
    <w:rsid w:val="402D78A8"/>
    <w:rsid w:val="406009C7"/>
    <w:rsid w:val="406E17B2"/>
    <w:rsid w:val="40755EE2"/>
    <w:rsid w:val="40B42CEB"/>
    <w:rsid w:val="411B29F7"/>
    <w:rsid w:val="414922E1"/>
    <w:rsid w:val="415948BC"/>
    <w:rsid w:val="418B12F5"/>
    <w:rsid w:val="418C40C5"/>
    <w:rsid w:val="41A7213D"/>
    <w:rsid w:val="41FB3559"/>
    <w:rsid w:val="42030B10"/>
    <w:rsid w:val="4211083B"/>
    <w:rsid w:val="421B4C2D"/>
    <w:rsid w:val="429D5995"/>
    <w:rsid w:val="42A202E7"/>
    <w:rsid w:val="42D176B7"/>
    <w:rsid w:val="430662D2"/>
    <w:rsid w:val="43436CCF"/>
    <w:rsid w:val="43513E94"/>
    <w:rsid w:val="43595191"/>
    <w:rsid w:val="437D1054"/>
    <w:rsid w:val="4395189D"/>
    <w:rsid w:val="43B00D63"/>
    <w:rsid w:val="43BF449C"/>
    <w:rsid w:val="43C84364"/>
    <w:rsid w:val="43D674C5"/>
    <w:rsid w:val="43DB09BE"/>
    <w:rsid w:val="43DE5395"/>
    <w:rsid w:val="43F66208"/>
    <w:rsid w:val="44164062"/>
    <w:rsid w:val="44476A64"/>
    <w:rsid w:val="4449553C"/>
    <w:rsid w:val="445059DF"/>
    <w:rsid w:val="445350CD"/>
    <w:rsid w:val="449601CF"/>
    <w:rsid w:val="44A349A0"/>
    <w:rsid w:val="44AC1B6F"/>
    <w:rsid w:val="44C05412"/>
    <w:rsid w:val="44E25554"/>
    <w:rsid w:val="44E727FB"/>
    <w:rsid w:val="45070B2C"/>
    <w:rsid w:val="45561110"/>
    <w:rsid w:val="455A550F"/>
    <w:rsid w:val="45655EE4"/>
    <w:rsid w:val="459169CA"/>
    <w:rsid w:val="459A0089"/>
    <w:rsid w:val="459F4E2B"/>
    <w:rsid w:val="45A766FD"/>
    <w:rsid w:val="460B55AD"/>
    <w:rsid w:val="461C3B64"/>
    <w:rsid w:val="46367E4A"/>
    <w:rsid w:val="464D3067"/>
    <w:rsid w:val="46F37769"/>
    <w:rsid w:val="473006B8"/>
    <w:rsid w:val="47357DD3"/>
    <w:rsid w:val="473A3D2A"/>
    <w:rsid w:val="477B7C1F"/>
    <w:rsid w:val="478028AE"/>
    <w:rsid w:val="47D171C6"/>
    <w:rsid w:val="47DF6AAC"/>
    <w:rsid w:val="47F51B56"/>
    <w:rsid w:val="484552AF"/>
    <w:rsid w:val="485F4731"/>
    <w:rsid w:val="4869116B"/>
    <w:rsid w:val="4886171A"/>
    <w:rsid w:val="489C44D5"/>
    <w:rsid w:val="489E0950"/>
    <w:rsid w:val="48B8749B"/>
    <w:rsid w:val="48C13E78"/>
    <w:rsid w:val="48EB6B00"/>
    <w:rsid w:val="491241F6"/>
    <w:rsid w:val="495F078E"/>
    <w:rsid w:val="49760683"/>
    <w:rsid w:val="49A61C09"/>
    <w:rsid w:val="49AD05F5"/>
    <w:rsid w:val="49D86A3A"/>
    <w:rsid w:val="49E311FD"/>
    <w:rsid w:val="49E4763C"/>
    <w:rsid w:val="4A2C0B2F"/>
    <w:rsid w:val="4A4B5A71"/>
    <w:rsid w:val="4A6A7252"/>
    <w:rsid w:val="4A751EBB"/>
    <w:rsid w:val="4A777A6B"/>
    <w:rsid w:val="4A837182"/>
    <w:rsid w:val="4ABC2931"/>
    <w:rsid w:val="4AD83F38"/>
    <w:rsid w:val="4AE47B2C"/>
    <w:rsid w:val="4AF11BD1"/>
    <w:rsid w:val="4B236BBB"/>
    <w:rsid w:val="4B66795F"/>
    <w:rsid w:val="4B84117A"/>
    <w:rsid w:val="4BA00297"/>
    <w:rsid w:val="4BAC5959"/>
    <w:rsid w:val="4BC76543"/>
    <w:rsid w:val="4BCA3F94"/>
    <w:rsid w:val="4BE72F27"/>
    <w:rsid w:val="4BF21A75"/>
    <w:rsid w:val="4C4415DC"/>
    <w:rsid w:val="4C4E6EF6"/>
    <w:rsid w:val="4C82022F"/>
    <w:rsid w:val="4CB85C94"/>
    <w:rsid w:val="4CFB30E2"/>
    <w:rsid w:val="4D3A0944"/>
    <w:rsid w:val="4D542571"/>
    <w:rsid w:val="4DB315B6"/>
    <w:rsid w:val="4DCE6238"/>
    <w:rsid w:val="4E0A0B68"/>
    <w:rsid w:val="4E1E07AE"/>
    <w:rsid w:val="4E315EA7"/>
    <w:rsid w:val="4E4B1EA3"/>
    <w:rsid w:val="4E7054D4"/>
    <w:rsid w:val="4E8C7034"/>
    <w:rsid w:val="4F3103DF"/>
    <w:rsid w:val="4F323C83"/>
    <w:rsid w:val="4F7B1FD0"/>
    <w:rsid w:val="4F7F215C"/>
    <w:rsid w:val="4F9B03E6"/>
    <w:rsid w:val="4FA65F7C"/>
    <w:rsid w:val="4FC727CF"/>
    <w:rsid w:val="4FF51701"/>
    <w:rsid w:val="4FF60D80"/>
    <w:rsid w:val="4FF80BFB"/>
    <w:rsid w:val="50104C69"/>
    <w:rsid w:val="505A2526"/>
    <w:rsid w:val="50AE289B"/>
    <w:rsid w:val="51106AAB"/>
    <w:rsid w:val="51164EC5"/>
    <w:rsid w:val="516B367A"/>
    <w:rsid w:val="519A6A1D"/>
    <w:rsid w:val="51A1111D"/>
    <w:rsid w:val="51CB517E"/>
    <w:rsid w:val="51EA4868"/>
    <w:rsid w:val="52301DA9"/>
    <w:rsid w:val="52576BE6"/>
    <w:rsid w:val="528965A9"/>
    <w:rsid w:val="52C00858"/>
    <w:rsid w:val="52C2248F"/>
    <w:rsid w:val="52D07299"/>
    <w:rsid w:val="530C4D26"/>
    <w:rsid w:val="53602AC6"/>
    <w:rsid w:val="537E7F5D"/>
    <w:rsid w:val="53C5723C"/>
    <w:rsid w:val="53C5776A"/>
    <w:rsid w:val="540C3F04"/>
    <w:rsid w:val="54371B1B"/>
    <w:rsid w:val="54574766"/>
    <w:rsid w:val="545818F4"/>
    <w:rsid w:val="54F97095"/>
    <w:rsid w:val="550454EA"/>
    <w:rsid w:val="55211939"/>
    <w:rsid w:val="55246E25"/>
    <w:rsid w:val="553560A7"/>
    <w:rsid w:val="55415924"/>
    <w:rsid w:val="554B5F61"/>
    <w:rsid w:val="55635015"/>
    <w:rsid w:val="55647CC8"/>
    <w:rsid w:val="55724889"/>
    <w:rsid w:val="55AD1DCD"/>
    <w:rsid w:val="55C16648"/>
    <w:rsid w:val="55E41500"/>
    <w:rsid w:val="56093471"/>
    <w:rsid w:val="562D7609"/>
    <w:rsid w:val="565D0E04"/>
    <w:rsid w:val="566A386C"/>
    <w:rsid w:val="56887079"/>
    <w:rsid w:val="56A35160"/>
    <w:rsid w:val="56A55D34"/>
    <w:rsid w:val="56BA7016"/>
    <w:rsid w:val="56BE4112"/>
    <w:rsid w:val="56C7309C"/>
    <w:rsid w:val="571733C6"/>
    <w:rsid w:val="571C0069"/>
    <w:rsid w:val="5734314E"/>
    <w:rsid w:val="573608C6"/>
    <w:rsid w:val="5747116E"/>
    <w:rsid w:val="57553BEB"/>
    <w:rsid w:val="575E7E48"/>
    <w:rsid w:val="57A33C00"/>
    <w:rsid w:val="57A92AD0"/>
    <w:rsid w:val="57BA145F"/>
    <w:rsid w:val="57C905A6"/>
    <w:rsid w:val="57E70888"/>
    <w:rsid w:val="57F4093D"/>
    <w:rsid w:val="582164F0"/>
    <w:rsid w:val="583E1727"/>
    <w:rsid w:val="585D1085"/>
    <w:rsid w:val="587E2B01"/>
    <w:rsid w:val="58A90B95"/>
    <w:rsid w:val="58AF0EB0"/>
    <w:rsid w:val="58B922BE"/>
    <w:rsid w:val="58C93A11"/>
    <w:rsid w:val="58EB2F8A"/>
    <w:rsid w:val="58EE73AF"/>
    <w:rsid w:val="59136284"/>
    <w:rsid w:val="59236663"/>
    <w:rsid w:val="593C5071"/>
    <w:rsid w:val="597F6CFE"/>
    <w:rsid w:val="598455B3"/>
    <w:rsid w:val="598E393A"/>
    <w:rsid w:val="5A090F02"/>
    <w:rsid w:val="5A1D1AA6"/>
    <w:rsid w:val="5A2D2964"/>
    <w:rsid w:val="5AAD0483"/>
    <w:rsid w:val="5B311FFA"/>
    <w:rsid w:val="5B625CC5"/>
    <w:rsid w:val="5BAC28BF"/>
    <w:rsid w:val="5BE76684"/>
    <w:rsid w:val="5C09228D"/>
    <w:rsid w:val="5C4924A6"/>
    <w:rsid w:val="5C607316"/>
    <w:rsid w:val="5CEE0813"/>
    <w:rsid w:val="5D1D0284"/>
    <w:rsid w:val="5D26574A"/>
    <w:rsid w:val="5D397033"/>
    <w:rsid w:val="5D4667E5"/>
    <w:rsid w:val="5D6D507C"/>
    <w:rsid w:val="5DDB4AD6"/>
    <w:rsid w:val="5E0141B5"/>
    <w:rsid w:val="5E657CFE"/>
    <w:rsid w:val="5E7B41D9"/>
    <w:rsid w:val="5E976AE1"/>
    <w:rsid w:val="5ED50C58"/>
    <w:rsid w:val="5EFF315F"/>
    <w:rsid w:val="5F130415"/>
    <w:rsid w:val="5F20318A"/>
    <w:rsid w:val="5F365692"/>
    <w:rsid w:val="5F436FDA"/>
    <w:rsid w:val="5F46087C"/>
    <w:rsid w:val="5F695437"/>
    <w:rsid w:val="5FCC441C"/>
    <w:rsid w:val="6013499C"/>
    <w:rsid w:val="603A5FA7"/>
    <w:rsid w:val="60473EA4"/>
    <w:rsid w:val="60622D78"/>
    <w:rsid w:val="609F5300"/>
    <w:rsid w:val="60D218DD"/>
    <w:rsid w:val="60DD04EC"/>
    <w:rsid w:val="60E37E6D"/>
    <w:rsid w:val="60F45C19"/>
    <w:rsid w:val="60FA4BF8"/>
    <w:rsid w:val="61372746"/>
    <w:rsid w:val="613F3073"/>
    <w:rsid w:val="616F0162"/>
    <w:rsid w:val="617C2C4D"/>
    <w:rsid w:val="618162DB"/>
    <w:rsid w:val="61C05CB6"/>
    <w:rsid w:val="6205308E"/>
    <w:rsid w:val="622C18D2"/>
    <w:rsid w:val="622D186B"/>
    <w:rsid w:val="623F5399"/>
    <w:rsid w:val="625E43DE"/>
    <w:rsid w:val="626258E4"/>
    <w:rsid w:val="62823552"/>
    <w:rsid w:val="629A1518"/>
    <w:rsid w:val="62CA46AF"/>
    <w:rsid w:val="62CF349A"/>
    <w:rsid w:val="62ED7647"/>
    <w:rsid w:val="634A0645"/>
    <w:rsid w:val="636E3DED"/>
    <w:rsid w:val="639543D0"/>
    <w:rsid w:val="63DC5DBF"/>
    <w:rsid w:val="64213BDD"/>
    <w:rsid w:val="64346A01"/>
    <w:rsid w:val="645E2D84"/>
    <w:rsid w:val="645F471C"/>
    <w:rsid w:val="64881420"/>
    <w:rsid w:val="64961DFF"/>
    <w:rsid w:val="64B85CA1"/>
    <w:rsid w:val="64C1215F"/>
    <w:rsid w:val="64F358C1"/>
    <w:rsid w:val="64FF5F47"/>
    <w:rsid w:val="65046CF4"/>
    <w:rsid w:val="65585A5A"/>
    <w:rsid w:val="656E4926"/>
    <w:rsid w:val="6584385A"/>
    <w:rsid w:val="65B473B0"/>
    <w:rsid w:val="662E203E"/>
    <w:rsid w:val="666816D0"/>
    <w:rsid w:val="66736CD3"/>
    <w:rsid w:val="66741C2E"/>
    <w:rsid w:val="66906E95"/>
    <w:rsid w:val="66A26523"/>
    <w:rsid w:val="66AF71C1"/>
    <w:rsid w:val="66CE1E41"/>
    <w:rsid w:val="66DB2370"/>
    <w:rsid w:val="66E27C11"/>
    <w:rsid w:val="67417528"/>
    <w:rsid w:val="67666FE0"/>
    <w:rsid w:val="676B7E58"/>
    <w:rsid w:val="679B2C40"/>
    <w:rsid w:val="67D85965"/>
    <w:rsid w:val="67F16520"/>
    <w:rsid w:val="68000AAB"/>
    <w:rsid w:val="68295ACF"/>
    <w:rsid w:val="68333CF4"/>
    <w:rsid w:val="683528BC"/>
    <w:rsid w:val="683A7510"/>
    <w:rsid w:val="68600917"/>
    <w:rsid w:val="68A56C70"/>
    <w:rsid w:val="68AC29A6"/>
    <w:rsid w:val="691965E3"/>
    <w:rsid w:val="694F68DA"/>
    <w:rsid w:val="697D7A26"/>
    <w:rsid w:val="698B0720"/>
    <w:rsid w:val="699156AE"/>
    <w:rsid w:val="6993456B"/>
    <w:rsid w:val="69937234"/>
    <w:rsid w:val="69D763F0"/>
    <w:rsid w:val="69D876EE"/>
    <w:rsid w:val="69E12DD4"/>
    <w:rsid w:val="6A2E6813"/>
    <w:rsid w:val="6A38733B"/>
    <w:rsid w:val="6A3D4E82"/>
    <w:rsid w:val="6A7F0C7E"/>
    <w:rsid w:val="6AAC5435"/>
    <w:rsid w:val="6AB34B1E"/>
    <w:rsid w:val="6AF117EA"/>
    <w:rsid w:val="6B6D589A"/>
    <w:rsid w:val="6B723501"/>
    <w:rsid w:val="6BA12159"/>
    <w:rsid w:val="6BA43CCA"/>
    <w:rsid w:val="6BDE5C7F"/>
    <w:rsid w:val="6C4F466D"/>
    <w:rsid w:val="6C58678C"/>
    <w:rsid w:val="6D231E9C"/>
    <w:rsid w:val="6D2A24D3"/>
    <w:rsid w:val="6D3A47BC"/>
    <w:rsid w:val="6D8C5F2C"/>
    <w:rsid w:val="6D8D33B9"/>
    <w:rsid w:val="6DAA0BFC"/>
    <w:rsid w:val="6DB74AA1"/>
    <w:rsid w:val="6E090407"/>
    <w:rsid w:val="6E3A0CEB"/>
    <w:rsid w:val="6E4522F2"/>
    <w:rsid w:val="6E817E85"/>
    <w:rsid w:val="6EC2223F"/>
    <w:rsid w:val="6EE7141B"/>
    <w:rsid w:val="6EFC797E"/>
    <w:rsid w:val="6F085543"/>
    <w:rsid w:val="6F1D126B"/>
    <w:rsid w:val="6F2065A1"/>
    <w:rsid w:val="6F295068"/>
    <w:rsid w:val="6FD12E23"/>
    <w:rsid w:val="6FE94145"/>
    <w:rsid w:val="6FE97D64"/>
    <w:rsid w:val="701809B3"/>
    <w:rsid w:val="702920CE"/>
    <w:rsid w:val="703D13EE"/>
    <w:rsid w:val="70436B19"/>
    <w:rsid w:val="705B6108"/>
    <w:rsid w:val="70842CFA"/>
    <w:rsid w:val="708F27D8"/>
    <w:rsid w:val="70CF5929"/>
    <w:rsid w:val="714062B6"/>
    <w:rsid w:val="71443CD6"/>
    <w:rsid w:val="71591785"/>
    <w:rsid w:val="71697A56"/>
    <w:rsid w:val="716E6E3B"/>
    <w:rsid w:val="719707D5"/>
    <w:rsid w:val="71DA45FF"/>
    <w:rsid w:val="71DF0F6A"/>
    <w:rsid w:val="72712C3C"/>
    <w:rsid w:val="72AE648B"/>
    <w:rsid w:val="72DC531A"/>
    <w:rsid w:val="73263B94"/>
    <w:rsid w:val="7335170E"/>
    <w:rsid w:val="73593D3E"/>
    <w:rsid w:val="737D4F4E"/>
    <w:rsid w:val="73885ADC"/>
    <w:rsid w:val="73967B38"/>
    <w:rsid w:val="74480518"/>
    <w:rsid w:val="749A5E1A"/>
    <w:rsid w:val="74E72232"/>
    <w:rsid w:val="75072A87"/>
    <w:rsid w:val="75113C7C"/>
    <w:rsid w:val="75383263"/>
    <w:rsid w:val="75862FD0"/>
    <w:rsid w:val="759F5A0D"/>
    <w:rsid w:val="75BE0B91"/>
    <w:rsid w:val="75ED6200"/>
    <w:rsid w:val="75F00DFC"/>
    <w:rsid w:val="761A1C62"/>
    <w:rsid w:val="768F20BD"/>
    <w:rsid w:val="77047100"/>
    <w:rsid w:val="771167BE"/>
    <w:rsid w:val="7733087F"/>
    <w:rsid w:val="77546B4F"/>
    <w:rsid w:val="7798104C"/>
    <w:rsid w:val="77B247C0"/>
    <w:rsid w:val="77BB7D8E"/>
    <w:rsid w:val="77F37FFE"/>
    <w:rsid w:val="77F74F6D"/>
    <w:rsid w:val="78146F2E"/>
    <w:rsid w:val="781A4CC3"/>
    <w:rsid w:val="781C5F84"/>
    <w:rsid w:val="78A6683E"/>
    <w:rsid w:val="78A76067"/>
    <w:rsid w:val="791C0C85"/>
    <w:rsid w:val="791D2D75"/>
    <w:rsid w:val="794A3A1D"/>
    <w:rsid w:val="797C7240"/>
    <w:rsid w:val="79E83D93"/>
    <w:rsid w:val="7A0F6A9B"/>
    <w:rsid w:val="7A2B306F"/>
    <w:rsid w:val="7A540BFA"/>
    <w:rsid w:val="7A705A11"/>
    <w:rsid w:val="7A710AAF"/>
    <w:rsid w:val="7A7E2BD6"/>
    <w:rsid w:val="7A893449"/>
    <w:rsid w:val="7AB07B50"/>
    <w:rsid w:val="7B173BDB"/>
    <w:rsid w:val="7B4B1425"/>
    <w:rsid w:val="7B692672"/>
    <w:rsid w:val="7B706597"/>
    <w:rsid w:val="7B7326E6"/>
    <w:rsid w:val="7BA3346A"/>
    <w:rsid w:val="7BB03E0C"/>
    <w:rsid w:val="7BB82A78"/>
    <w:rsid w:val="7BC71B24"/>
    <w:rsid w:val="7BF81460"/>
    <w:rsid w:val="7C0B1097"/>
    <w:rsid w:val="7C231C10"/>
    <w:rsid w:val="7C7A0D33"/>
    <w:rsid w:val="7C8E6DF7"/>
    <w:rsid w:val="7CB17F1C"/>
    <w:rsid w:val="7CF80597"/>
    <w:rsid w:val="7CFA64F2"/>
    <w:rsid w:val="7D143B1A"/>
    <w:rsid w:val="7D1C6005"/>
    <w:rsid w:val="7D767A35"/>
    <w:rsid w:val="7D881FEE"/>
    <w:rsid w:val="7D923715"/>
    <w:rsid w:val="7DCE172C"/>
    <w:rsid w:val="7DF62A88"/>
    <w:rsid w:val="7E235190"/>
    <w:rsid w:val="7E2928C7"/>
    <w:rsid w:val="7E2D4FC5"/>
    <w:rsid w:val="7E4877CC"/>
    <w:rsid w:val="7E875417"/>
    <w:rsid w:val="7E922F18"/>
    <w:rsid w:val="7E993326"/>
    <w:rsid w:val="7ED756F6"/>
    <w:rsid w:val="7EEB3090"/>
    <w:rsid w:val="7EFA085D"/>
    <w:rsid w:val="7F1422D8"/>
    <w:rsid w:val="7F1D52F2"/>
    <w:rsid w:val="7F2B713B"/>
    <w:rsid w:val="7F3D4EC7"/>
    <w:rsid w:val="7F671FF2"/>
    <w:rsid w:val="7F750ACB"/>
    <w:rsid w:val="7F9955B4"/>
    <w:rsid w:val="7FB248C5"/>
    <w:rsid w:val="7FEF6698"/>
    <w:rsid w:val="7FFB51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5:docId w15:val="{9CCED101-C20E-4D6C-9595-F6D4CF7C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qFormat="1"/>
    <w:lsdException w:name="table of figures" w:qFormat="1"/>
    <w:lsdException w:name="envelope address" w:qFormat="1"/>
    <w:lsdException w:name="envelope return" w:qFormat="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semiHidden="1" w:unhideWhenUsed="1" w:qFormat="1"/>
    <w:lsdException w:name="Strong" w:uiPriority="22"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keepNext/>
      <w:keepLines/>
      <w:spacing w:before="260" w:after="260" w:line="413" w:lineRule="auto"/>
      <w:outlineLvl w:val="1"/>
    </w:pPr>
    <w:rPr>
      <w:sz w:val="28"/>
    </w:rPr>
  </w:style>
  <w:style w:type="paragraph" w:styleId="3">
    <w:name w:val="heading 3"/>
    <w:basedOn w:val="a"/>
    <w:next w:val="a"/>
    <w:qFormat/>
    <w:pPr>
      <w:keepNext/>
      <w:keepLines/>
      <w:spacing w:before="260" w:after="260" w:line="413" w:lineRule="auto"/>
      <w:outlineLvl w:val="2"/>
    </w:pPr>
    <w:rPr>
      <w:b/>
      <w:sz w:val="32"/>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paragraph" w:styleId="5">
    <w:name w:val="heading 5"/>
    <w:basedOn w:val="a"/>
    <w:next w:val="a"/>
    <w:qFormat/>
    <w:pPr>
      <w:keepNext/>
      <w:keepLines/>
      <w:spacing w:before="280" w:after="290" w:line="372" w:lineRule="auto"/>
      <w:outlineLvl w:val="4"/>
    </w:pPr>
    <w:rPr>
      <w:b/>
      <w:sz w:val="28"/>
    </w:rPr>
  </w:style>
  <w:style w:type="paragraph" w:styleId="6">
    <w:name w:val="heading 6"/>
    <w:basedOn w:val="a"/>
    <w:next w:val="a"/>
    <w:qFormat/>
    <w:pPr>
      <w:keepNext/>
      <w:keepLines/>
      <w:spacing w:before="240" w:after="64" w:line="317" w:lineRule="auto"/>
      <w:outlineLvl w:val="5"/>
    </w:pPr>
    <w:rPr>
      <w:rFonts w:ascii="Arial" w:eastAsia="黑体" w:hAnsi="Arial"/>
      <w:b/>
      <w:sz w:val="24"/>
    </w:rPr>
  </w:style>
  <w:style w:type="paragraph" w:styleId="7">
    <w:name w:val="heading 7"/>
    <w:basedOn w:val="a"/>
    <w:next w:val="a"/>
    <w:qFormat/>
    <w:pPr>
      <w:keepNext/>
      <w:keepLines/>
      <w:spacing w:before="240" w:after="64" w:line="317" w:lineRule="auto"/>
      <w:outlineLvl w:val="6"/>
    </w:pPr>
    <w:rPr>
      <w:b/>
      <w:sz w:val="24"/>
    </w:rPr>
  </w:style>
  <w:style w:type="paragraph" w:styleId="8">
    <w:name w:val="heading 8"/>
    <w:basedOn w:val="a"/>
    <w:next w:val="a"/>
    <w:qFormat/>
    <w:pPr>
      <w:keepNext/>
      <w:keepLines/>
      <w:spacing w:before="240" w:after="64" w:line="317" w:lineRule="auto"/>
      <w:outlineLvl w:val="7"/>
    </w:pPr>
    <w:rPr>
      <w:rFonts w:ascii="Arial" w:eastAsia="黑体" w:hAnsi="Arial"/>
      <w:sz w:val="24"/>
    </w:rPr>
  </w:style>
  <w:style w:type="paragraph" w:styleId="9">
    <w:name w:val="heading 9"/>
    <w:basedOn w:val="a"/>
    <w:next w:val="a"/>
    <w:qFormat/>
    <w:pPr>
      <w:keepNext/>
      <w:keepLines/>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rPr>
  </w:style>
  <w:style w:type="paragraph" w:styleId="30">
    <w:name w:val="List 3"/>
    <w:basedOn w:val="a"/>
    <w:qFormat/>
    <w:pPr>
      <w:ind w:leftChars="400" w:left="100" w:hangingChars="200" w:hanging="200"/>
    </w:pPr>
  </w:style>
  <w:style w:type="paragraph" w:styleId="70">
    <w:name w:val="toc 7"/>
    <w:basedOn w:val="a"/>
    <w:next w:val="a"/>
    <w:qFormat/>
    <w:pPr>
      <w:ind w:leftChars="1200" w:left="2520"/>
    </w:pPr>
  </w:style>
  <w:style w:type="paragraph" w:styleId="20">
    <w:name w:val="List Number 2"/>
    <w:basedOn w:val="a"/>
    <w:qFormat/>
    <w:pPr>
      <w:tabs>
        <w:tab w:val="left" w:pos="780"/>
      </w:tabs>
      <w:ind w:left="780" w:hanging="360"/>
    </w:pPr>
  </w:style>
  <w:style w:type="paragraph" w:styleId="a4">
    <w:name w:val="table of authorities"/>
    <w:basedOn w:val="a"/>
    <w:next w:val="a"/>
    <w:qFormat/>
    <w:pPr>
      <w:ind w:leftChars="200" w:left="420"/>
    </w:pPr>
  </w:style>
  <w:style w:type="paragraph" w:styleId="a5">
    <w:name w:val="Note Heading"/>
    <w:basedOn w:val="a"/>
    <w:next w:val="a"/>
    <w:qFormat/>
    <w:pPr>
      <w:jc w:val="center"/>
    </w:pPr>
  </w:style>
  <w:style w:type="paragraph" w:styleId="40">
    <w:name w:val="List Bullet 4"/>
    <w:basedOn w:val="a"/>
    <w:qFormat/>
    <w:pPr>
      <w:tabs>
        <w:tab w:val="left" w:pos="1620"/>
      </w:tabs>
      <w:ind w:left="1620" w:hanging="360"/>
    </w:pPr>
  </w:style>
  <w:style w:type="paragraph" w:styleId="80">
    <w:name w:val="index 8"/>
    <w:basedOn w:val="a"/>
    <w:next w:val="a"/>
    <w:qFormat/>
    <w:pPr>
      <w:ind w:leftChars="1400" w:left="1400"/>
    </w:pPr>
  </w:style>
  <w:style w:type="paragraph" w:styleId="a6">
    <w:name w:val="E-mail Signature"/>
    <w:basedOn w:val="a"/>
    <w:qFormat/>
  </w:style>
  <w:style w:type="paragraph" w:styleId="a7">
    <w:name w:val="List Number"/>
    <w:basedOn w:val="a"/>
    <w:qFormat/>
    <w:pPr>
      <w:tabs>
        <w:tab w:val="left" w:pos="360"/>
      </w:tabs>
      <w:ind w:left="360" w:hanging="360"/>
    </w:pPr>
  </w:style>
  <w:style w:type="paragraph" w:styleId="a8">
    <w:name w:val="Normal Indent"/>
    <w:basedOn w:val="a"/>
    <w:qFormat/>
    <w:pPr>
      <w:ind w:firstLineChars="200" w:firstLine="420"/>
    </w:pPr>
  </w:style>
  <w:style w:type="paragraph" w:styleId="a9">
    <w:name w:val="caption"/>
    <w:basedOn w:val="a"/>
    <w:next w:val="a"/>
    <w:qFormat/>
    <w:rPr>
      <w:rFonts w:ascii="Arial" w:eastAsia="黑体" w:hAnsi="Arial"/>
      <w:sz w:val="20"/>
    </w:rPr>
  </w:style>
  <w:style w:type="paragraph" w:styleId="50">
    <w:name w:val="index 5"/>
    <w:basedOn w:val="a"/>
    <w:next w:val="a"/>
    <w:qFormat/>
    <w:pPr>
      <w:ind w:leftChars="800" w:left="800"/>
    </w:pPr>
  </w:style>
  <w:style w:type="paragraph" w:styleId="aa">
    <w:name w:val="List Bullet"/>
    <w:basedOn w:val="a"/>
    <w:qFormat/>
    <w:pPr>
      <w:tabs>
        <w:tab w:val="left" w:pos="360"/>
      </w:tabs>
      <w:ind w:left="360" w:hanging="360"/>
    </w:pPr>
  </w:style>
  <w:style w:type="paragraph" w:styleId="ab">
    <w:name w:val="envelope address"/>
    <w:basedOn w:val="a"/>
    <w:qFormat/>
    <w:pPr>
      <w:snapToGrid w:val="0"/>
      <w:ind w:leftChars="1400" w:left="100"/>
    </w:pPr>
    <w:rPr>
      <w:rFonts w:ascii="Arial" w:hAnsi="Arial"/>
      <w:sz w:val="24"/>
    </w:rPr>
  </w:style>
  <w:style w:type="paragraph" w:styleId="ac">
    <w:name w:val="Document Map"/>
    <w:basedOn w:val="a"/>
    <w:qFormat/>
    <w:pPr>
      <w:shd w:val="clear" w:color="auto" w:fill="000080"/>
    </w:pPr>
  </w:style>
  <w:style w:type="paragraph" w:styleId="ad">
    <w:name w:val="toa heading"/>
    <w:basedOn w:val="a"/>
    <w:next w:val="a"/>
    <w:qFormat/>
    <w:pPr>
      <w:spacing w:before="120"/>
    </w:pPr>
    <w:rPr>
      <w:rFonts w:ascii="Arial" w:hAnsi="Arial"/>
      <w:sz w:val="24"/>
    </w:rPr>
  </w:style>
  <w:style w:type="paragraph" w:styleId="ae">
    <w:name w:val="annotation text"/>
    <w:basedOn w:val="a"/>
    <w:qFormat/>
    <w:pPr>
      <w:jc w:val="left"/>
    </w:pPr>
  </w:style>
  <w:style w:type="paragraph" w:styleId="60">
    <w:name w:val="index 6"/>
    <w:basedOn w:val="a"/>
    <w:next w:val="a"/>
    <w:qFormat/>
    <w:pPr>
      <w:ind w:leftChars="1000" w:left="1000"/>
    </w:pPr>
  </w:style>
  <w:style w:type="paragraph" w:styleId="af">
    <w:name w:val="Salutation"/>
    <w:basedOn w:val="a"/>
    <w:next w:val="a"/>
    <w:qFormat/>
  </w:style>
  <w:style w:type="paragraph" w:styleId="31">
    <w:name w:val="Body Text 3"/>
    <w:basedOn w:val="a"/>
    <w:qFormat/>
    <w:pPr>
      <w:spacing w:after="120"/>
    </w:pPr>
    <w:rPr>
      <w:sz w:val="16"/>
    </w:rPr>
  </w:style>
  <w:style w:type="paragraph" w:styleId="af0">
    <w:name w:val="Closing"/>
    <w:basedOn w:val="a"/>
    <w:qFormat/>
    <w:pPr>
      <w:ind w:leftChars="2100" w:left="100"/>
    </w:pPr>
  </w:style>
  <w:style w:type="paragraph" w:styleId="32">
    <w:name w:val="List Bullet 3"/>
    <w:basedOn w:val="a"/>
    <w:qFormat/>
    <w:pPr>
      <w:tabs>
        <w:tab w:val="left" w:pos="1200"/>
      </w:tabs>
      <w:ind w:left="1200" w:hanging="360"/>
    </w:pPr>
  </w:style>
  <w:style w:type="paragraph" w:styleId="af1">
    <w:name w:val="Body Text"/>
    <w:basedOn w:val="a"/>
    <w:qFormat/>
    <w:pPr>
      <w:spacing w:after="120"/>
    </w:pPr>
  </w:style>
  <w:style w:type="paragraph" w:styleId="af2">
    <w:name w:val="Body Text Indent"/>
    <w:basedOn w:val="a"/>
    <w:qFormat/>
    <w:pPr>
      <w:spacing w:after="120"/>
      <w:ind w:leftChars="200" w:left="420"/>
    </w:pPr>
  </w:style>
  <w:style w:type="paragraph" w:styleId="33">
    <w:name w:val="List Number 3"/>
    <w:basedOn w:val="a"/>
    <w:qFormat/>
    <w:pPr>
      <w:tabs>
        <w:tab w:val="left" w:pos="1200"/>
      </w:tabs>
      <w:ind w:left="1200" w:hanging="360"/>
    </w:pPr>
  </w:style>
  <w:style w:type="paragraph" w:styleId="21">
    <w:name w:val="List 2"/>
    <w:basedOn w:val="a"/>
    <w:qFormat/>
    <w:pPr>
      <w:ind w:leftChars="200" w:left="100" w:hangingChars="200" w:hanging="200"/>
    </w:pPr>
  </w:style>
  <w:style w:type="paragraph" w:styleId="af3">
    <w:name w:val="List Continue"/>
    <w:basedOn w:val="a"/>
    <w:qFormat/>
    <w:pPr>
      <w:spacing w:after="120"/>
      <w:ind w:leftChars="200" w:left="420"/>
    </w:pPr>
  </w:style>
  <w:style w:type="paragraph" w:styleId="af4">
    <w:name w:val="Block Text"/>
    <w:basedOn w:val="a"/>
    <w:qFormat/>
    <w:pPr>
      <w:spacing w:after="120"/>
      <w:ind w:leftChars="700" w:left="1440" w:rightChars="700" w:right="700"/>
    </w:pPr>
  </w:style>
  <w:style w:type="paragraph" w:styleId="22">
    <w:name w:val="List Bullet 2"/>
    <w:basedOn w:val="a"/>
    <w:qFormat/>
    <w:pPr>
      <w:tabs>
        <w:tab w:val="left" w:pos="780"/>
      </w:tabs>
      <w:ind w:left="780" w:hanging="360"/>
    </w:pPr>
  </w:style>
  <w:style w:type="paragraph" w:styleId="HTML">
    <w:name w:val="HTML Address"/>
    <w:basedOn w:val="a"/>
    <w:qFormat/>
    <w:rPr>
      <w:i/>
    </w:rPr>
  </w:style>
  <w:style w:type="paragraph" w:styleId="41">
    <w:name w:val="index 4"/>
    <w:basedOn w:val="a"/>
    <w:next w:val="a"/>
    <w:qFormat/>
    <w:pPr>
      <w:ind w:leftChars="600" w:left="600"/>
    </w:pPr>
  </w:style>
  <w:style w:type="paragraph" w:styleId="51">
    <w:name w:val="toc 5"/>
    <w:basedOn w:val="a"/>
    <w:next w:val="a"/>
    <w:qFormat/>
    <w:pPr>
      <w:ind w:leftChars="800" w:left="1680"/>
    </w:pPr>
  </w:style>
  <w:style w:type="paragraph" w:styleId="34">
    <w:name w:val="toc 3"/>
    <w:basedOn w:val="a"/>
    <w:next w:val="a"/>
    <w:qFormat/>
    <w:pPr>
      <w:ind w:leftChars="400" w:left="840"/>
    </w:pPr>
  </w:style>
  <w:style w:type="paragraph" w:styleId="af5">
    <w:name w:val="Plain Text"/>
    <w:basedOn w:val="a"/>
    <w:qFormat/>
    <w:rPr>
      <w:rFonts w:ascii="宋体" w:hAnsi="Courier New"/>
    </w:rPr>
  </w:style>
  <w:style w:type="paragraph" w:styleId="52">
    <w:name w:val="List Bullet 5"/>
    <w:basedOn w:val="a"/>
    <w:qFormat/>
    <w:pPr>
      <w:tabs>
        <w:tab w:val="left" w:pos="2040"/>
      </w:tabs>
      <w:ind w:left="2040" w:hanging="360"/>
    </w:pPr>
  </w:style>
  <w:style w:type="paragraph" w:styleId="42">
    <w:name w:val="List Number 4"/>
    <w:basedOn w:val="a"/>
    <w:qFormat/>
    <w:pPr>
      <w:tabs>
        <w:tab w:val="left" w:pos="1620"/>
      </w:tabs>
      <w:ind w:left="1620" w:hanging="360"/>
    </w:pPr>
  </w:style>
  <w:style w:type="paragraph" w:styleId="81">
    <w:name w:val="toc 8"/>
    <w:basedOn w:val="a"/>
    <w:next w:val="a"/>
    <w:qFormat/>
    <w:pPr>
      <w:ind w:leftChars="1400" w:left="2940"/>
    </w:pPr>
  </w:style>
  <w:style w:type="paragraph" w:styleId="35">
    <w:name w:val="index 3"/>
    <w:basedOn w:val="a"/>
    <w:next w:val="a"/>
    <w:qFormat/>
    <w:pPr>
      <w:ind w:leftChars="400" w:left="400"/>
    </w:pPr>
  </w:style>
  <w:style w:type="paragraph" w:styleId="af6">
    <w:name w:val="Date"/>
    <w:basedOn w:val="a"/>
    <w:next w:val="a"/>
    <w:qFormat/>
    <w:pPr>
      <w:ind w:leftChars="2500" w:left="100"/>
    </w:pPr>
  </w:style>
  <w:style w:type="paragraph" w:styleId="23">
    <w:name w:val="Body Text Indent 2"/>
    <w:basedOn w:val="a"/>
    <w:qFormat/>
    <w:pPr>
      <w:spacing w:after="120" w:line="480" w:lineRule="auto"/>
      <w:ind w:leftChars="200" w:left="420"/>
    </w:pPr>
  </w:style>
  <w:style w:type="paragraph" w:styleId="af7">
    <w:name w:val="endnote text"/>
    <w:basedOn w:val="a"/>
    <w:qFormat/>
    <w:pPr>
      <w:snapToGrid w:val="0"/>
      <w:jc w:val="left"/>
    </w:pPr>
  </w:style>
  <w:style w:type="paragraph" w:styleId="53">
    <w:name w:val="List Continue 5"/>
    <w:basedOn w:val="a"/>
    <w:qFormat/>
    <w:pPr>
      <w:spacing w:after="120"/>
      <w:ind w:leftChars="1000" w:left="2100"/>
    </w:pPr>
  </w:style>
  <w:style w:type="paragraph" w:styleId="af8">
    <w:name w:val="Balloon Text"/>
    <w:basedOn w:val="a"/>
    <w:qFormat/>
    <w:rPr>
      <w:sz w:val="18"/>
    </w:rPr>
  </w:style>
  <w:style w:type="paragraph" w:styleId="af9">
    <w:name w:val="footer"/>
    <w:basedOn w:val="a"/>
    <w:qFormat/>
    <w:pPr>
      <w:tabs>
        <w:tab w:val="center" w:pos="4153"/>
        <w:tab w:val="right" w:pos="8306"/>
      </w:tabs>
      <w:snapToGrid w:val="0"/>
      <w:jc w:val="left"/>
    </w:pPr>
    <w:rPr>
      <w:sz w:val="18"/>
    </w:rPr>
  </w:style>
  <w:style w:type="paragraph" w:styleId="afa">
    <w:name w:val="envelope return"/>
    <w:basedOn w:val="a"/>
    <w:qFormat/>
    <w:pPr>
      <w:snapToGrid w:val="0"/>
    </w:pPr>
    <w:rPr>
      <w:rFonts w:ascii="Arial" w:hAnsi="Arial"/>
    </w:rPr>
  </w:style>
  <w:style w:type="paragraph" w:styleId="afb">
    <w:name w:val="header"/>
    <w:basedOn w:val="a"/>
    <w:link w:val="Char"/>
    <w:qFormat/>
    <w:pPr>
      <w:pBdr>
        <w:bottom w:val="single" w:sz="6" w:space="1" w:color="auto"/>
      </w:pBdr>
      <w:tabs>
        <w:tab w:val="center" w:pos="4153"/>
        <w:tab w:val="right" w:pos="8306"/>
      </w:tabs>
      <w:snapToGrid w:val="0"/>
      <w:jc w:val="center"/>
    </w:pPr>
    <w:rPr>
      <w:rFonts w:ascii="Calibri" w:hAnsi="Calibri"/>
      <w:sz w:val="18"/>
    </w:rPr>
  </w:style>
  <w:style w:type="paragraph" w:styleId="afc">
    <w:name w:val="Signature"/>
    <w:basedOn w:val="a"/>
    <w:qFormat/>
    <w:pPr>
      <w:ind w:leftChars="2100" w:left="100"/>
    </w:pPr>
  </w:style>
  <w:style w:type="paragraph" w:styleId="10">
    <w:name w:val="toc 1"/>
    <w:basedOn w:val="a"/>
    <w:next w:val="a"/>
    <w:qFormat/>
  </w:style>
  <w:style w:type="paragraph" w:styleId="43">
    <w:name w:val="List Continue 4"/>
    <w:basedOn w:val="a"/>
    <w:qFormat/>
    <w:pPr>
      <w:spacing w:after="120"/>
      <w:ind w:leftChars="800" w:left="1680"/>
    </w:pPr>
  </w:style>
  <w:style w:type="paragraph" w:styleId="44">
    <w:name w:val="toc 4"/>
    <w:basedOn w:val="a"/>
    <w:next w:val="a"/>
    <w:qFormat/>
    <w:pPr>
      <w:ind w:leftChars="600" w:left="1260"/>
    </w:pPr>
  </w:style>
  <w:style w:type="paragraph" w:styleId="afd">
    <w:name w:val="index heading"/>
    <w:basedOn w:val="a"/>
    <w:next w:val="11"/>
    <w:qFormat/>
    <w:rPr>
      <w:rFonts w:ascii="Arial" w:hAnsi="Arial"/>
      <w:b/>
    </w:rPr>
  </w:style>
  <w:style w:type="paragraph" w:styleId="11">
    <w:name w:val="index 1"/>
    <w:basedOn w:val="a"/>
    <w:next w:val="a"/>
    <w:qFormat/>
  </w:style>
  <w:style w:type="paragraph" w:styleId="afe">
    <w:name w:val="Subtitle"/>
    <w:basedOn w:val="a"/>
    <w:qFormat/>
    <w:pPr>
      <w:spacing w:before="240" w:after="60" w:line="312" w:lineRule="auto"/>
      <w:jc w:val="center"/>
      <w:outlineLvl w:val="1"/>
    </w:pPr>
    <w:rPr>
      <w:rFonts w:ascii="Arial" w:hAnsi="Arial"/>
      <w:b/>
      <w:kern w:val="28"/>
      <w:sz w:val="32"/>
    </w:rPr>
  </w:style>
  <w:style w:type="paragraph" w:styleId="54">
    <w:name w:val="List Number 5"/>
    <w:basedOn w:val="a"/>
    <w:qFormat/>
    <w:pPr>
      <w:tabs>
        <w:tab w:val="left" w:pos="2040"/>
      </w:tabs>
      <w:ind w:left="2040" w:hanging="360"/>
    </w:pPr>
  </w:style>
  <w:style w:type="paragraph" w:styleId="aff">
    <w:name w:val="List"/>
    <w:basedOn w:val="a"/>
    <w:qFormat/>
    <w:pPr>
      <w:ind w:left="200" w:hangingChars="200" w:hanging="200"/>
    </w:pPr>
  </w:style>
  <w:style w:type="paragraph" w:styleId="aff0">
    <w:name w:val="footnote text"/>
    <w:basedOn w:val="a"/>
    <w:qFormat/>
    <w:pPr>
      <w:snapToGrid w:val="0"/>
      <w:jc w:val="left"/>
    </w:pPr>
    <w:rPr>
      <w:sz w:val="18"/>
    </w:rPr>
  </w:style>
  <w:style w:type="paragraph" w:styleId="61">
    <w:name w:val="toc 6"/>
    <w:basedOn w:val="a"/>
    <w:next w:val="a"/>
    <w:qFormat/>
    <w:pPr>
      <w:ind w:leftChars="1000" w:left="2100"/>
    </w:pPr>
  </w:style>
  <w:style w:type="paragraph" w:styleId="55">
    <w:name w:val="List 5"/>
    <w:basedOn w:val="a"/>
    <w:qFormat/>
    <w:pPr>
      <w:ind w:leftChars="800" w:left="100" w:hangingChars="200" w:hanging="200"/>
    </w:pPr>
  </w:style>
  <w:style w:type="paragraph" w:styleId="36">
    <w:name w:val="Body Text Indent 3"/>
    <w:basedOn w:val="a"/>
    <w:qFormat/>
    <w:pPr>
      <w:spacing w:line="300" w:lineRule="auto"/>
      <w:ind w:firstLineChars="200" w:firstLine="480"/>
    </w:pPr>
    <w:rPr>
      <w:sz w:val="24"/>
    </w:rPr>
  </w:style>
  <w:style w:type="paragraph" w:styleId="71">
    <w:name w:val="index 7"/>
    <w:basedOn w:val="a"/>
    <w:next w:val="a"/>
    <w:qFormat/>
    <w:pPr>
      <w:ind w:leftChars="1200" w:left="1200"/>
    </w:pPr>
  </w:style>
  <w:style w:type="paragraph" w:styleId="90">
    <w:name w:val="index 9"/>
    <w:basedOn w:val="a"/>
    <w:next w:val="a"/>
    <w:qFormat/>
    <w:pPr>
      <w:ind w:leftChars="1600" w:left="1600"/>
    </w:pPr>
  </w:style>
  <w:style w:type="paragraph" w:styleId="aff1">
    <w:name w:val="table of figures"/>
    <w:basedOn w:val="a"/>
    <w:next w:val="a"/>
    <w:qFormat/>
    <w:pPr>
      <w:ind w:leftChars="200" w:left="200" w:hangingChars="200" w:hanging="200"/>
    </w:pPr>
  </w:style>
  <w:style w:type="paragraph" w:styleId="24">
    <w:name w:val="toc 2"/>
    <w:basedOn w:val="a"/>
    <w:next w:val="a"/>
    <w:qFormat/>
    <w:pPr>
      <w:ind w:leftChars="200" w:left="420"/>
    </w:pPr>
  </w:style>
  <w:style w:type="paragraph" w:styleId="91">
    <w:name w:val="toc 9"/>
    <w:basedOn w:val="a"/>
    <w:next w:val="a"/>
    <w:qFormat/>
    <w:pPr>
      <w:ind w:leftChars="1600" w:left="3360"/>
    </w:pPr>
  </w:style>
  <w:style w:type="paragraph" w:styleId="25">
    <w:name w:val="Body Text 2"/>
    <w:basedOn w:val="a"/>
    <w:qFormat/>
    <w:pPr>
      <w:spacing w:after="120" w:line="480" w:lineRule="auto"/>
    </w:pPr>
  </w:style>
  <w:style w:type="paragraph" w:styleId="45">
    <w:name w:val="List 4"/>
    <w:basedOn w:val="a"/>
    <w:qFormat/>
    <w:pPr>
      <w:ind w:leftChars="600" w:left="100" w:hangingChars="200" w:hanging="200"/>
    </w:pPr>
  </w:style>
  <w:style w:type="paragraph" w:styleId="26">
    <w:name w:val="List Continue 2"/>
    <w:basedOn w:val="a"/>
    <w:qFormat/>
    <w:pPr>
      <w:spacing w:after="120"/>
      <w:ind w:leftChars="400" w:left="840"/>
    </w:pPr>
  </w:style>
  <w:style w:type="paragraph" w:styleId="aff2">
    <w:name w:val="Message Header"/>
    <w:basedOn w:val="a"/>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rPr>
  </w:style>
  <w:style w:type="paragraph" w:styleId="HTML0">
    <w:name w:val="HTML Preformatted"/>
    <w:basedOn w:val="a"/>
    <w:link w:val="HTMLChar"/>
    <w:uiPriority w:val="99"/>
    <w:qFormat/>
    <w:rPr>
      <w:rFonts w:ascii="Courier New" w:hAnsi="Courier New"/>
    </w:rPr>
  </w:style>
  <w:style w:type="paragraph" w:styleId="aff3">
    <w:name w:val="Normal (Web)"/>
    <w:basedOn w:val="a"/>
    <w:uiPriority w:val="99"/>
    <w:qFormat/>
    <w:pPr>
      <w:spacing w:before="100" w:beforeAutospacing="1" w:after="100" w:afterAutospacing="1"/>
      <w:jc w:val="left"/>
    </w:pPr>
    <w:rPr>
      <w:kern w:val="0"/>
      <w:sz w:val="24"/>
    </w:rPr>
  </w:style>
  <w:style w:type="paragraph" w:styleId="37">
    <w:name w:val="List Continue 3"/>
    <w:basedOn w:val="a"/>
    <w:qFormat/>
    <w:pPr>
      <w:spacing w:after="120"/>
      <w:ind w:leftChars="600" w:left="1260"/>
    </w:pPr>
  </w:style>
  <w:style w:type="paragraph" w:styleId="27">
    <w:name w:val="index 2"/>
    <w:basedOn w:val="a"/>
    <w:next w:val="a"/>
    <w:qFormat/>
    <w:pPr>
      <w:ind w:leftChars="200" w:left="200"/>
    </w:pPr>
  </w:style>
  <w:style w:type="paragraph" w:styleId="aff4">
    <w:name w:val="Title"/>
    <w:basedOn w:val="a"/>
    <w:qFormat/>
    <w:pPr>
      <w:spacing w:before="240" w:after="60"/>
      <w:jc w:val="center"/>
      <w:outlineLvl w:val="0"/>
    </w:pPr>
    <w:rPr>
      <w:rFonts w:ascii="Arial" w:hAnsi="Arial"/>
      <w:b/>
      <w:sz w:val="32"/>
    </w:rPr>
  </w:style>
  <w:style w:type="paragraph" w:styleId="aff5">
    <w:name w:val="annotation subject"/>
    <w:basedOn w:val="ae"/>
    <w:next w:val="ae"/>
    <w:qFormat/>
    <w:rPr>
      <w:b/>
    </w:rPr>
  </w:style>
  <w:style w:type="paragraph" w:styleId="aff6">
    <w:name w:val="Body Text First Indent"/>
    <w:basedOn w:val="af1"/>
    <w:qFormat/>
    <w:pPr>
      <w:ind w:firstLineChars="100" w:firstLine="420"/>
    </w:pPr>
  </w:style>
  <w:style w:type="paragraph" w:styleId="28">
    <w:name w:val="Body Text First Indent 2"/>
    <w:basedOn w:val="af2"/>
    <w:qFormat/>
    <w:pPr>
      <w:ind w:firstLineChars="200" w:firstLine="420"/>
    </w:pPr>
  </w:style>
  <w:style w:type="character" w:styleId="aff7">
    <w:name w:val="Strong"/>
    <w:uiPriority w:val="22"/>
    <w:qFormat/>
    <w:rPr>
      <w:b/>
    </w:rPr>
  </w:style>
  <w:style w:type="character" w:styleId="aff8">
    <w:name w:val="page number"/>
    <w:basedOn w:val="a0"/>
    <w:qFormat/>
  </w:style>
  <w:style w:type="character" w:styleId="aff9">
    <w:name w:val="FollowedHyperlink"/>
    <w:basedOn w:val="a0"/>
    <w:semiHidden/>
    <w:unhideWhenUsed/>
    <w:qFormat/>
    <w:rPr>
      <w:color w:val="996600"/>
      <w:u w:val="none"/>
    </w:rPr>
  </w:style>
  <w:style w:type="character" w:styleId="affa">
    <w:name w:val="Emphasis"/>
    <w:qFormat/>
    <w:rPr>
      <w:color w:val="CC0000"/>
    </w:rPr>
  </w:style>
  <w:style w:type="character" w:styleId="affb">
    <w:name w:val="Hyperlink"/>
    <w:uiPriority w:val="99"/>
    <w:qFormat/>
    <w:rPr>
      <w:color w:val="000000"/>
      <w:u w:val="none"/>
    </w:rPr>
  </w:style>
  <w:style w:type="paragraph" w:customStyle="1" w:styleId="z-1">
    <w:name w:val="z-窗体顶端1"/>
    <w:basedOn w:val="a"/>
    <w:next w:val="a"/>
    <w:qFormat/>
    <w:pPr>
      <w:widowControl/>
      <w:pBdr>
        <w:bottom w:val="single" w:sz="6" w:space="1" w:color="auto"/>
      </w:pBdr>
      <w:jc w:val="center"/>
    </w:pPr>
    <w:rPr>
      <w:rFonts w:ascii="Arial" w:hAnsi="Arial"/>
      <w:vanish/>
      <w:kern w:val="0"/>
      <w:sz w:val="16"/>
    </w:rPr>
  </w:style>
  <w:style w:type="paragraph" w:customStyle="1" w:styleId="Char0">
    <w:name w:val="Char"/>
    <w:basedOn w:val="a"/>
    <w:qFormat/>
    <w:pPr>
      <w:tabs>
        <w:tab w:val="left" w:pos="360"/>
      </w:tabs>
    </w:pPr>
    <w:rPr>
      <w:rFonts w:ascii="Courier New" w:hAnsi="Courier New"/>
    </w:rPr>
  </w:style>
  <w:style w:type="paragraph" w:customStyle="1" w:styleId="110">
    <w:name w:val="列出段落11"/>
    <w:basedOn w:val="a"/>
    <w:qFormat/>
    <w:pPr>
      <w:ind w:firstLineChars="200" w:firstLine="420"/>
    </w:pPr>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color w:val="000000"/>
      <w:sz w:val="24"/>
    </w:rPr>
  </w:style>
  <w:style w:type="paragraph" w:customStyle="1" w:styleId="12">
    <w:name w:val="页眉1"/>
    <w:basedOn w:val="a"/>
    <w:qFormat/>
    <w:pPr>
      <w:pBdr>
        <w:bottom w:val="single" w:sz="6" w:space="1" w:color="auto"/>
      </w:pBdr>
      <w:tabs>
        <w:tab w:val="center" w:pos="4153"/>
        <w:tab w:val="right" w:pos="8306"/>
      </w:tabs>
      <w:snapToGrid w:val="0"/>
      <w:jc w:val="center"/>
    </w:pPr>
    <w:rPr>
      <w:rFonts w:ascii="Calibri" w:hAnsi="Calibri"/>
      <w:sz w:val="18"/>
    </w:rPr>
  </w:style>
  <w:style w:type="paragraph" w:customStyle="1" w:styleId="13">
    <w:name w:val="无间隔1"/>
    <w:qFormat/>
    <w:pPr>
      <w:widowControl w:val="0"/>
      <w:jc w:val="both"/>
    </w:pPr>
    <w:rPr>
      <w:kern w:val="2"/>
      <w:sz w:val="21"/>
    </w:rPr>
  </w:style>
  <w:style w:type="paragraph" w:customStyle="1" w:styleId="14">
    <w:name w:val="页脚1"/>
    <w:basedOn w:val="a"/>
    <w:qFormat/>
    <w:pPr>
      <w:tabs>
        <w:tab w:val="center" w:pos="4153"/>
        <w:tab w:val="right" w:pos="8306"/>
      </w:tabs>
      <w:snapToGrid w:val="0"/>
      <w:jc w:val="left"/>
    </w:pPr>
    <w:rPr>
      <w:sz w:val="18"/>
    </w:rPr>
  </w:style>
  <w:style w:type="paragraph" w:customStyle="1" w:styleId="15">
    <w:name w:val="列出段落1"/>
    <w:basedOn w:val="a"/>
    <w:qFormat/>
    <w:pPr>
      <w:ind w:firstLineChars="200" w:firstLine="420"/>
    </w:pPr>
  </w:style>
  <w:style w:type="paragraph" w:customStyle="1" w:styleId="p0">
    <w:name w:val="p0"/>
    <w:basedOn w:val="a"/>
    <w:qFormat/>
    <w:pPr>
      <w:widowControl/>
    </w:pPr>
    <w:rPr>
      <w:kern w:val="0"/>
    </w:rPr>
  </w:style>
  <w:style w:type="paragraph" w:customStyle="1" w:styleId="120">
    <w:name w:val="列出段落12"/>
    <w:basedOn w:val="a"/>
    <w:qFormat/>
    <w:pPr>
      <w:widowControl/>
      <w:ind w:firstLineChars="200" w:firstLine="420"/>
      <w:jc w:val="left"/>
    </w:pPr>
    <w:rPr>
      <w:rFonts w:ascii="宋体" w:hAnsi="宋体"/>
      <w:kern w:val="0"/>
      <w:sz w:val="24"/>
    </w:rPr>
  </w:style>
  <w:style w:type="paragraph" w:customStyle="1" w:styleId="z-10">
    <w:name w:val="z-窗体底端1"/>
    <w:basedOn w:val="a"/>
    <w:next w:val="a"/>
    <w:qFormat/>
    <w:pPr>
      <w:widowControl/>
      <w:pBdr>
        <w:top w:val="single" w:sz="6" w:space="1" w:color="auto"/>
      </w:pBdr>
      <w:jc w:val="center"/>
    </w:pPr>
    <w:rPr>
      <w:rFonts w:ascii="Arial" w:hAnsi="Arial"/>
      <w:vanish/>
      <w:kern w:val="0"/>
      <w:sz w:val="16"/>
    </w:rPr>
  </w:style>
  <w:style w:type="character" w:customStyle="1" w:styleId="font01">
    <w:name w:val="font01"/>
    <w:qFormat/>
    <w:rPr>
      <w:rFonts w:ascii="Arial" w:hAnsi="Arial" w:hint="default"/>
      <w:b/>
      <w:color w:val="000000"/>
      <w:sz w:val="16"/>
      <w:u w:val="none"/>
    </w:rPr>
  </w:style>
  <w:style w:type="character" w:customStyle="1" w:styleId="txtcontent11">
    <w:name w:val="txtcontent11"/>
    <w:qFormat/>
    <w:rPr>
      <w:rFonts w:ascii="ˎ̥" w:hAnsi="ˎ̥" w:hint="default"/>
      <w:color w:val="000000"/>
      <w:sz w:val="21"/>
    </w:rPr>
  </w:style>
  <w:style w:type="character" w:customStyle="1" w:styleId="font41">
    <w:name w:val="font41"/>
    <w:qFormat/>
    <w:rPr>
      <w:rFonts w:ascii="宋体" w:eastAsia="宋体" w:hAnsi="宋体" w:hint="eastAsia"/>
      <w:b/>
      <w:color w:val="000000"/>
      <w:sz w:val="16"/>
      <w:u w:val="none"/>
    </w:rPr>
  </w:style>
  <w:style w:type="character" w:customStyle="1" w:styleId="font81">
    <w:name w:val="font81"/>
    <w:qFormat/>
    <w:rPr>
      <w:rFonts w:ascii="宋体" w:eastAsia="宋体" w:hAnsi="宋体" w:hint="eastAsia"/>
      <w:b/>
      <w:color w:val="000000"/>
      <w:sz w:val="16"/>
      <w:u w:val="none"/>
    </w:rPr>
  </w:style>
  <w:style w:type="character" w:customStyle="1" w:styleId="font61">
    <w:name w:val="font61"/>
    <w:qFormat/>
    <w:rPr>
      <w:rFonts w:ascii="宋体" w:eastAsia="宋体" w:hAnsi="宋体" w:hint="eastAsia"/>
      <w:b/>
      <w:color w:val="000000"/>
      <w:sz w:val="16"/>
      <w:u w:val="none"/>
    </w:rPr>
  </w:style>
  <w:style w:type="character" w:customStyle="1" w:styleId="HTMLChar">
    <w:name w:val="HTML 预设格式 Char"/>
    <w:link w:val="HTML0"/>
    <w:uiPriority w:val="99"/>
    <w:qFormat/>
    <w:rPr>
      <w:rFonts w:ascii="Courier New" w:hAnsi="Courier New"/>
      <w:kern w:val="2"/>
    </w:rPr>
  </w:style>
  <w:style w:type="character" w:customStyle="1" w:styleId="16">
    <w:name w:val="未处理的提及1"/>
    <w:qFormat/>
    <w:rPr>
      <w:color w:val="808080"/>
      <w:shd w:val="clear" w:color="auto" w:fill="E6E6E6"/>
    </w:rPr>
  </w:style>
  <w:style w:type="character" w:customStyle="1" w:styleId="personpopuptrigger">
    <w:name w:val="personpopuptrigger"/>
    <w:basedOn w:val="a0"/>
    <w:qFormat/>
  </w:style>
  <w:style w:type="character" w:customStyle="1" w:styleId="17">
    <w:name w:val="不明显强调1"/>
    <w:qFormat/>
    <w:rPr>
      <w:i/>
      <w:color w:val="808080"/>
    </w:rPr>
  </w:style>
  <w:style w:type="character" w:customStyle="1" w:styleId="font71">
    <w:name w:val="font71"/>
    <w:qFormat/>
    <w:rPr>
      <w:rFonts w:ascii="宋体" w:eastAsia="宋体" w:hAnsi="宋体" w:hint="eastAsia"/>
      <w:b/>
      <w:color w:val="000000"/>
      <w:sz w:val="16"/>
      <w:u w:val="none"/>
    </w:rPr>
  </w:style>
  <w:style w:type="character" w:customStyle="1" w:styleId="Char">
    <w:name w:val="页眉 Char"/>
    <w:link w:val="afb"/>
    <w:qFormat/>
    <w:rPr>
      <w:rFonts w:ascii="Calibri" w:eastAsia="宋体" w:hAnsi="Calibri"/>
      <w:kern w:val="2"/>
      <w:sz w:val="18"/>
      <w:lang w:val="en-US" w:eastAsia="zh-CN"/>
    </w:rPr>
  </w:style>
  <w:style w:type="character" w:customStyle="1" w:styleId="font51">
    <w:name w:val="font51"/>
    <w:qFormat/>
    <w:rPr>
      <w:rFonts w:ascii="Arial" w:hAnsi="Arial" w:hint="default"/>
      <w:b/>
      <w:color w:val="000000"/>
      <w:sz w:val="16"/>
      <w:u w:val="none"/>
    </w:rPr>
  </w:style>
  <w:style w:type="character" w:customStyle="1" w:styleId="font11">
    <w:name w:val="font11"/>
    <w:qFormat/>
    <w:rPr>
      <w:rFonts w:ascii="Arial" w:hAnsi="Arial" w:hint="default"/>
      <w:b/>
      <w:color w:val="000000"/>
      <w:sz w:val="16"/>
      <w:u w:val="none"/>
    </w:rPr>
  </w:style>
  <w:style w:type="character" w:customStyle="1" w:styleId="underline1">
    <w:name w:val="underline1"/>
    <w:qFormat/>
    <w:rPr>
      <w:u w:val="single"/>
    </w:rPr>
  </w:style>
  <w:style w:type="character" w:customStyle="1" w:styleId="font31">
    <w:name w:val="font31"/>
    <w:qFormat/>
    <w:rPr>
      <w:rFonts w:ascii="宋体" w:eastAsia="宋体" w:hAnsi="宋体" w:hint="eastAsia"/>
      <w:b/>
      <w:color w:val="000000"/>
      <w:sz w:val="16"/>
      <w:u w:val="none"/>
    </w:rPr>
  </w:style>
  <w:style w:type="character" w:customStyle="1" w:styleId="apple-converted-space">
    <w:name w:val="apple-converted-space"/>
    <w:basedOn w:val="a0"/>
    <w:qFormat/>
  </w:style>
  <w:style w:type="character" w:customStyle="1" w:styleId="lbldetailcontent1">
    <w:name w:val="lbldetailcontent1"/>
    <w:qFormat/>
  </w:style>
  <w:style w:type="character" w:customStyle="1" w:styleId="18">
    <w:name w:val="页码1"/>
    <w:basedOn w:val="a0"/>
    <w:qFormat/>
  </w:style>
  <w:style w:type="character" w:customStyle="1" w:styleId="font21">
    <w:name w:val="font21"/>
    <w:qFormat/>
    <w:rPr>
      <w:rFonts w:ascii="宋体" w:eastAsia="宋体" w:hAnsi="宋体" w:hint="eastAsia"/>
      <w:b/>
      <w:color w:val="000000"/>
      <w:sz w:val="16"/>
      <w:u w:val="none"/>
    </w:rPr>
  </w:style>
  <w:style w:type="paragraph" w:customStyle="1" w:styleId="19">
    <w:name w:val="列表段落1"/>
    <w:basedOn w:val="a"/>
    <w:uiPriority w:val="99"/>
    <w:unhideWhenUsed/>
    <w:qFormat/>
    <w:pPr>
      <w:ind w:firstLineChars="200" w:firstLine="420"/>
    </w:pPr>
  </w:style>
  <w:style w:type="character" w:customStyle="1" w:styleId="readmaillocationtip">
    <w:name w:val="readmail_locationtip"/>
    <w:basedOn w:val="a0"/>
    <w:qFormat/>
  </w:style>
  <w:style w:type="character" w:customStyle="1" w:styleId="29">
    <w:name w:val="未处理的提及2"/>
    <w:basedOn w:val="a0"/>
    <w:uiPriority w:val="99"/>
    <w:unhideWhenUsed/>
    <w:qFormat/>
    <w:rPr>
      <w:color w:val="605E5C"/>
      <w:shd w:val="clear" w:color="auto" w:fill="E1DFDD"/>
    </w:rPr>
  </w:style>
  <w:style w:type="paragraph" w:styleId="aff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9329">
      <w:bodyDiv w:val="1"/>
      <w:marLeft w:val="0"/>
      <w:marRight w:val="0"/>
      <w:marTop w:val="0"/>
      <w:marBottom w:val="0"/>
      <w:divBdr>
        <w:top w:val="none" w:sz="0" w:space="0" w:color="auto"/>
        <w:left w:val="none" w:sz="0" w:space="0" w:color="auto"/>
        <w:bottom w:val="none" w:sz="0" w:space="0" w:color="auto"/>
        <w:right w:val="none" w:sz="0" w:space="0" w:color="auto"/>
      </w:divBdr>
    </w:div>
    <w:div w:id="15620290">
      <w:bodyDiv w:val="1"/>
      <w:marLeft w:val="0"/>
      <w:marRight w:val="0"/>
      <w:marTop w:val="0"/>
      <w:marBottom w:val="0"/>
      <w:divBdr>
        <w:top w:val="none" w:sz="0" w:space="0" w:color="auto"/>
        <w:left w:val="none" w:sz="0" w:space="0" w:color="auto"/>
        <w:bottom w:val="none" w:sz="0" w:space="0" w:color="auto"/>
        <w:right w:val="none" w:sz="0" w:space="0" w:color="auto"/>
      </w:divBdr>
    </w:div>
    <w:div w:id="44835616">
      <w:bodyDiv w:val="1"/>
      <w:marLeft w:val="0"/>
      <w:marRight w:val="0"/>
      <w:marTop w:val="0"/>
      <w:marBottom w:val="0"/>
      <w:divBdr>
        <w:top w:val="none" w:sz="0" w:space="0" w:color="auto"/>
        <w:left w:val="none" w:sz="0" w:space="0" w:color="auto"/>
        <w:bottom w:val="none" w:sz="0" w:space="0" w:color="auto"/>
        <w:right w:val="none" w:sz="0" w:space="0" w:color="auto"/>
      </w:divBdr>
    </w:div>
    <w:div w:id="66920464">
      <w:bodyDiv w:val="1"/>
      <w:marLeft w:val="0"/>
      <w:marRight w:val="0"/>
      <w:marTop w:val="0"/>
      <w:marBottom w:val="0"/>
      <w:divBdr>
        <w:top w:val="none" w:sz="0" w:space="0" w:color="auto"/>
        <w:left w:val="none" w:sz="0" w:space="0" w:color="auto"/>
        <w:bottom w:val="none" w:sz="0" w:space="0" w:color="auto"/>
        <w:right w:val="none" w:sz="0" w:space="0" w:color="auto"/>
      </w:divBdr>
    </w:div>
    <w:div w:id="125587456">
      <w:bodyDiv w:val="1"/>
      <w:marLeft w:val="0"/>
      <w:marRight w:val="0"/>
      <w:marTop w:val="0"/>
      <w:marBottom w:val="0"/>
      <w:divBdr>
        <w:top w:val="none" w:sz="0" w:space="0" w:color="auto"/>
        <w:left w:val="none" w:sz="0" w:space="0" w:color="auto"/>
        <w:bottom w:val="none" w:sz="0" w:space="0" w:color="auto"/>
        <w:right w:val="none" w:sz="0" w:space="0" w:color="auto"/>
      </w:divBdr>
    </w:div>
    <w:div w:id="145359383">
      <w:bodyDiv w:val="1"/>
      <w:marLeft w:val="0"/>
      <w:marRight w:val="0"/>
      <w:marTop w:val="0"/>
      <w:marBottom w:val="0"/>
      <w:divBdr>
        <w:top w:val="none" w:sz="0" w:space="0" w:color="auto"/>
        <w:left w:val="none" w:sz="0" w:space="0" w:color="auto"/>
        <w:bottom w:val="none" w:sz="0" w:space="0" w:color="auto"/>
        <w:right w:val="none" w:sz="0" w:space="0" w:color="auto"/>
      </w:divBdr>
    </w:div>
    <w:div w:id="160317496">
      <w:bodyDiv w:val="1"/>
      <w:marLeft w:val="0"/>
      <w:marRight w:val="0"/>
      <w:marTop w:val="0"/>
      <w:marBottom w:val="0"/>
      <w:divBdr>
        <w:top w:val="none" w:sz="0" w:space="0" w:color="auto"/>
        <w:left w:val="none" w:sz="0" w:space="0" w:color="auto"/>
        <w:bottom w:val="none" w:sz="0" w:space="0" w:color="auto"/>
        <w:right w:val="none" w:sz="0" w:space="0" w:color="auto"/>
      </w:divBdr>
    </w:div>
    <w:div w:id="167407903">
      <w:bodyDiv w:val="1"/>
      <w:marLeft w:val="0"/>
      <w:marRight w:val="0"/>
      <w:marTop w:val="0"/>
      <w:marBottom w:val="0"/>
      <w:divBdr>
        <w:top w:val="none" w:sz="0" w:space="0" w:color="auto"/>
        <w:left w:val="none" w:sz="0" w:space="0" w:color="auto"/>
        <w:bottom w:val="none" w:sz="0" w:space="0" w:color="auto"/>
        <w:right w:val="none" w:sz="0" w:space="0" w:color="auto"/>
      </w:divBdr>
    </w:div>
    <w:div w:id="224688123">
      <w:bodyDiv w:val="1"/>
      <w:marLeft w:val="0"/>
      <w:marRight w:val="0"/>
      <w:marTop w:val="0"/>
      <w:marBottom w:val="0"/>
      <w:divBdr>
        <w:top w:val="none" w:sz="0" w:space="0" w:color="auto"/>
        <w:left w:val="none" w:sz="0" w:space="0" w:color="auto"/>
        <w:bottom w:val="none" w:sz="0" w:space="0" w:color="auto"/>
        <w:right w:val="none" w:sz="0" w:space="0" w:color="auto"/>
      </w:divBdr>
    </w:div>
    <w:div w:id="226376423">
      <w:bodyDiv w:val="1"/>
      <w:marLeft w:val="0"/>
      <w:marRight w:val="0"/>
      <w:marTop w:val="0"/>
      <w:marBottom w:val="0"/>
      <w:divBdr>
        <w:top w:val="none" w:sz="0" w:space="0" w:color="auto"/>
        <w:left w:val="none" w:sz="0" w:space="0" w:color="auto"/>
        <w:bottom w:val="none" w:sz="0" w:space="0" w:color="auto"/>
        <w:right w:val="none" w:sz="0" w:space="0" w:color="auto"/>
      </w:divBdr>
    </w:div>
    <w:div w:id="232277700">
      <w:bodyDiv w:val="1"/>
      <w:marLeft w:val="0"/>
      <w:marRight w:val="0"/>
      <w:marTop w:val="0"/>
      <w:marBottom w:val="0"/>
      <w:divBdr>
        <w:top w:val="none" w:sz="0" w:space="0" w:color="auto"/>
        <w:left w:val="none" w:sz="0" w:space="0" w:color="auto"/>
        <w:bottom w:val="none" w:sz="0" w:space="0" w:color="auto"/>
        <w:right w:val="none" w:sz="0" w:space="0" w:color="auto"/>
      </w:divBdr>
    </w:div>
    <w:div w:id="335035564">
      <w:bodyDiv w:val="1"/>
      <w:marLeft w:val="0"/>
      <w:marRight w:val="0"/>
      <w:marTop w:val="0"/>
      <w:marBottom w:val="0"/>
      <w:divBdr>
        <w:top w:val="none" w:sz="0" w:space="0" w:color="auto"/>
        <w:left w:val="none" w:sz="0" w:space="0" w:color="auto"/>
        <w:bottom w:val="none" w:sz="0" w:space="0" w:color="auto"/>
        <w:right w:val="none" w:sz="0" w:space="0" w:color="auto"/>
      </w:divBdr>
    </w:div>
    <w:div w:id="346950929">
      <w:bodyDiv w:val="1"/>
      <w:marLeft w:val="0"/>
      <w:marRight w:val="0"/>
      <w:marTop w:val="0"/>
      <w:marBottom w:val="0"/>
      <w:divBdr>
        <w:top w:val="none" w:sz="0" w:space="0" w:color="auto"/>
        <w:left w:val="none" w:sz="0" w:space="0" w:color="auto"/>
        <w:bottom w:val="none" w:sz="0" w:space="0" w:color="auto"/>
        <w:right w:val="none" w:sz="0" w:space="0" w:color="auto"/>
      </w:divBdr>
    </w:div>
    <w:div w:id="368461165">
      <w:bodyDiv w:val="1"/>
      <w:marLeft w:val="0"/>
      <w:marRight w:val="0"/>
      <w:marTop w:val="0"/>
      <w:marBottom w:val="0"/>
      <w:divBdr>
        <w:top w:val="none" w:sz="0" w:space="0" w:color="auto"/>
        <w:left w:val="none" w:sz="0" w:space="0" w:color="auto"/>
        <w:bottom w:val="none" w:sz="0" w:space="0" w:color="auto"/>
        <w:right w:val="none" w:sz="0" w:space="0" w:color="auto"/>
      </w:divBdr>
    </w:div>
    <w:div w:id="371730349">
      <w:bodyDiv w:val="1"/>
      <w:marLeft w:val="0"/>
      <w:marRight w:val="0"/>
      <w:marTop w:val="0"/>
      <w:marBottom w:val="0"/>
      <w:divBdr>
        <w:top w:val="none" w:sz="0" w:space="0" w:color="auto"/>
        <w:left w:val="none" w:sz="0" w:space="0" w:color="auto"/>
        <w:bottom w:val="none" w:sz="0" w:space="0" w:color="auto"/>
        <w:right w:val="none" w:sz="0" w:space="0" w:color="auto"/>
      </w:divBdr>
    </w:div>
    <w:div w:id="379016886">
      <w:bodyDiv w:val="1"/>
      <w:marLeft w:val="0"/>
      <w:marRight w:val="0"/>
      <w:marTop w:val="0"/>
      <w:marBottom w:val="0"/>
      <w:divBdr>
        <w:top w:val="none" w:sz="0" w:space="0" w:color="auto"/>
        <w:left w:val="none" w:sz="0" w:space="0" w:color="auto"/>
        <w:bottom w:val="none" w:sz="0" w:space="0" w:color="auto"/>
        <w:right w:val="none" w:sz="0" w:space="0" w:color="auto"/>
      </w:divBdr>
    </w:div>
    <w:div w:id="392392625">
      <w:bodyDiv w:val="1"/>
      <w:marLeft w:val="0"/>
      <w:marRight w:val="0"/>
      <w:marTop w:val="0"/>
      <w:marBottom w:val="0"/>
      <w:divBdr>
        <w:top w:val="none" w:sz="0" w:space="0" w:color="auto"/>
        <w:left w:val="none" w:sz="0" w:space="0" w:color="auto"/>
        <w:bottom w:val="none" w:sz="0" w:space="0" w:color="auto"/>
        <w:right w:val="none" w:sz="0" w:space="0" w:color="auto"/>
      </w:divBdr>
    </w:div>
    <w:div w:id="398330917">
      <w:bodyDiv w:val="1"/>
      <w:marLeft w:val="0"/>
      <w:marRight w:val="0"/>
      <w:marTop w:val="0"/>
      <w:marBottom w:val="0"/>
      <w:divBdr>
        <w:top w:val="none" w:sz="0" w:space="0" w:color="auto"/>
        <w:left w:val="none" w:sz="0" w:space="0" w:color="auto"/>
        <w:bottom w:val="none" w:sz="0" w:space="0" w:color="auto"/>
        <w:right w:val="none" w:sz="0" w:space="0" w:color="auto"/>
      </w:divBdr>
    </w:div>
    <w:div w:id="447509914">
      <w:bodyDiv w:val="1"/>
      <w:marLeft w:val="0"/>
      <w:marRight w:val="0"/>
      <w:marTop w:val="0"/>
      <w:marBottom w:val="0"/>
      <w:divBdr>
        <w:top w:val="none" w:sz="0" w:space="0" w:color="auto"/>
        <w:left w:val="none" w:sz="0" w:space="0" w:color="auto"/>
        <w:bottom w:val="none" w:sz="0" w:space="0" w:color="auto"/>
        <w:right w:val="none" w:sz="0" w:space="0" w:color="auto"/>
      </w:divBdr>
    </w:div>
    <w:div w:id="461461925">
      <w:bodyDiv w:val="1"/>
      <w:marLeft w:val="0"/>
      <w:marRight w:val="0"/>
      <w:marTop w:val="0"/>
      <w:marBottom w:val="0"/>
      <w:divBdr>
        <w:top w:val="none" w:sz="0" w:space="0" w:color="auto"/>
        <w:left w:val="none" w:sz="0" w:space="0" w:color="auto"/>
        <w:bottom w:val="none" w:sz="0" w:space="0" w:color="auto"/>
        <w:right w:val="none" w:sz="0" w:space="0" w:color="auto"/>
      </w:divBdr>
    </w:div>
    <w:div w:id="488061912">
      <w:bodyDiv w:val="1"/>
      <w:marLeft w:val="0"/>
      <w:marRight w:val="0"/>
      <w:marTop w:val="0"/>
      <w:marBottom w:val="0"/>
      <w:divBdr>
        <w:top w:val="none" w:sz="0" w:space="0" w:color="auto"/>
        <w:left w:val="none" w:sz="0" w:space="0" w:color="auto"/>
        <w:bottom w:val="none" w:sz="0" w:space="0" w:color="auto"/>
        <w:right w:val="none" w:sz="0" w:space="0" w:color="auto"/>
      </w:divBdr>
    </w:div>
    <w:div w:id="490028912">
      <w:bodyDiv w:val="1"/>
      <w:marLeft w:val="0"/>
      <w:marRight w:val="0"/>
      <w:marTop w:val="0"/>
      <w:marBottom w:val="0"/>
      <w:divBdr>
        <w:top w:val="none" w:sz="0" w:space="0" w:color="auto"/>
        <w:left w:val="none" w:sz="0" w:space="0" w:color="auto"/>
        <w:bottom w:val="none" w:sz="0" w:space="0" w:color="auto"/>
        <w:right w:val="none" w:sz="0" w:space="0" w:color="auto"/>
      </w:divBdr>
    </w:div>
    <w:div w:id="531460593">
      <w:bodyDiv w:val="1"/>
      <w:marLeft w:val="0"/>
      <w:marRight w:val="0"/>
      <w:marTop w:val="0"/>
      <w:marBottom w:val="0"/>
      <w:divBdr>
        <w:top w:val="none" w:sz="0" w:space="0" w:color="auto"/>
        <w:left w:val="none" w:sz="0" w:space="0" w:color="auto"/>
        <w:bottom w:val="none" w:sz="0" w:space="0" w:color="auto"/>
        <w:right w:val="none" w:sz="0" w:space="0" w:color="auto"/>
      </w:divBdr>
    </w:div>
    <w:div w:id="534083672">
      <w:bodyDiv w:val="1"/>
      <w:marLeft w:val="0"/>
      <w:marRight w:val="0"/>
      <w:marTop w:val="0"/>
      <w:marBottom w:val="0"/>
      <w:divBdr>
        <w:top w:val="none" w:sz="0" w:space="0" w:color="auto"/>
        <w:left w:val="none" w:sz="0" w:space="0" w:color="auto"/>
        <w:bottom w:val="none" w:sz="0" w:space="0" w:color="auto"/>
        <w:right w:val="none" w:sz="0" w:space="0" w:color="auto"/>
      </w:divBdr>
    </w:div>
    <w:div w:id="557209845">
      <w:bodyDiv w:val="1"/>
      <w:marLeft w:val="0"/>
      <w:marRight w:val="0"/>
      <w:marTop w:val="0"/>
      <w:marBottom w:val="0"/>
      <w:divBdr>
        <w:top w:val="none" w:sz="0" w:space="0" w:color="auto"/>
        <w:left w:val="none" w:sz="0" w:space="0" w:color="auto"/>
        <w:bottom w:val="none" w:sz="0" w:space="0" w:color="auto"/>
        <w:right w:val="none" w:sz="0" w:space="0" w:color="auto"/>
      </w:divBdr>
    </w:div>
    <w:div w:id="561597355">
      <w:bodyDiv w:val="1"/>
      <w:marLeft w:val="0"/>
      <w:marRight w:val="0"/>
      <w:marTop w:val="0"/>
      <w:marBottom w:val="0"/>
      <w:divBdr>
        <w:top w:val="none" w:sz="0" w:space="0" w:color="auto"/>
        <w:left w:val="none" w:sz="0" w:space="0" w:color="auto"/>
        <w:bottom w:val="none" w:sz="0" w:space="0" w:color="auto"/>
        <w:right w:val="none" w:sz="0" w:space="0" w:color="auto"/>
      </w:divBdr>
    </w:div>
    <w:div w:id="569115582">
      <w:bodyDiv w:val="1"/>
      <w:marLeft w:val="0"/>
      <w:marRight w:val="0"/>
      <w:marTop w:val="0"/>
      <w:marBottom w:val="0"/>
      <w:divBdr>
        <w:top w:val="none" w:sz="0" w:space="0" w:color="auto"/>
        <w:left w:val="none" w:sz="0" w:space="0" w:color="auto"/>
        <w:bottom w:val="none" w:sz="0" w:space="0" w:color="auto"/>
        <w:right w:val="none" w:sz="0" w:space="0" w:color="auto"/>
      </w:divBdr>
    </w:div>
    <w:div w:id="569462966">
      <w:bodyDiv w:val="1"/>
      <w:marLeft w:val="0"/>
      <w:marRight w:val="0"/>
      <w:marTop w:val="0"/>
      <w:marBottom w:val="0"/>
      <w:divBdr>
        <w:top w:val="none" w:sz="0" w:space="0" w:color="auto"/>
        <w:left w:val="none" w:sz="0" w:space="0" w:color="auto"/>
        <w:bottom w:val="none" w:sz="0" w:space="0" w:color="auto"/>
        <w:right w:val="none" w:sz="0" w:space="0" w:color="auto"/>
      </w:divBdr>
    </w:div>
    <w:div w:id="665524104">
      <w:bodyDiv w:val="1"/>
      <w:marLeft w:val="0"/>
      <w:marRight w:val="0"/>
      <w:marTop w:val="0"/>
      <w:marBottom w:val="0"/>
      <w:divBdr>
        <w:top w:val="none" w:sz="0" w:space="0" w:color="auto"/>
        <w:left w:val="none" w:sz="0" w:space="0" w:color="auto"/>
        <w:bottom w:val="none" w:sz="0" w:space="0" w:color="auto"/>
        <w:right w:val="none" w:sz="0" w:space="0" w:color="auto"/>
      </w:divBdr>
    </w:div>
    <w:div w:id="673146763">
      <w:bodyDiv w:val="1"/>
      <w:marLeft w:val="0"/>
      <w:marRight w:val="0"/>
      <w:marTop w:val="0"/>
      <w:marBottom w:val="0"/>
      <w:divBdr>
        <w:top w:val="none" w:sz="0" w:space="0" w:color="auto"/>
        <w:left w:val="none" w:sz="0" w:space="0" w:color="auto"/>
        <w:bottom w:val="none" w:sz="0" w:space="0" w:color="auto"/>
        <w:right w:val="none" w:sz="0" w:space="0" w:color="auto"/>
      </w:divBdr>
    </w:div>
    <w:div w:id="707029044">
      <w:bodyDiv w:val="1"/>
      <w:marLeft w:val="0"/>
      <w:marRight w:val="0"/>
      <w:marTop w:val="0"/>
      <w:marBottom w:val="0"/>
      <w:divBdr>
        <w:top w:val="none" w:sz="0" w:space="0" w:color="auto"/>
        <w:left w:val="none" w:sz="0" w:space="0" w:color="auto"/>
        <w:bottom w:val="none" w:sz="0" w:space="0" w:color="auto"/>
        <w:right w:val="none" w:sz="0" w:space="0" w:color="auto"/>
      </w:divBdr>
    </w:div>
    <w:div w:id="756168909">
      <w:bodyDiv w:val="1"/>
      <w:marLeft w:val="0"/>
      <w:marRight w:val="0"/>
      <w:marTop w:val="0"/>
      <w:marBottom w:val="0"/>
      <w:divBdr>
        <w:top w:val="none" w:sz="0" w:space="0" w:color="auto"/>
        <w:left w:val="none" w:sz="0" w:space="0" w:color="auto"/>
        <w:bottom w:val="none" w:sz="0" w:space="0" w:color="auto"/>
        <w:right w:val="none" w:sz="0" w:space="0" w:color="auto"/>
      </w:divBdr>
    </w:div>
    <w:div w:id="812521166">
      <w:bodyDiv w:val="1"/>
      <w:marLeft w:val="0"/>
      <w:marRight w:val="0"/>
      <w:marTop w:val="0"/>
      <w:marBottom w:val="0"/>
      <w:divBdr>
        <w:top w:val="none" w:sz="0" w:space="0" w:color="auto"/>
        <w:left w:val="none" w:sz="0" w:space="0" w:color="auto"/>
        <w:bottom w:val="none" w:sz="0" w:space="0" w:color="auto"/>
        <w:right w:val="none" w:sz="0" w:space="0" w:color="auto"/>
      </w:divBdr>
    </w:div>
    <w:div w:id="816454998">
      <w:bodyDiv w:val="1"/>
      <w:marLeft w:val="0"/>
      <w:marRight w:val="0"/>
      <w:marTop w:val="0"/>
      <w:marBottom w:val="0"/>
      <w:divBdr>
        <w:top w:val="none" w:sz="0" w:space="0" w:color="auto"/>
        <w:left w:val="none" w:sz="0" w:space="0" w:color="auto"/>
        <w:bottom w:val="none" w:sz="0" w:space="0" w:color="auto"/>
        <w:right w:val="none" w:sz="0" w:space="0" w:color="auto"/>
      </w:divBdr>
    </w:div>
    <w:div w:id="852378937">
      <w:bodyDiv w:val="1"/>
      <w:marLeft w:val="0"/>
      <w:marRight w:val="0"/>
      <w:marTop w:val="0"/>
      <w:marBottom w:val="0"/>
      <w:divBdr>
        <w:top w:val="none" w:sz="0" w:space="0" w:color="auto"/>
        <w:left w:val="none" w:sz="0" w:space="0" w:color="auto"/>
        <w:bottom w:val="none" w:sz="0" w:space="0" w:color="auto"/>
        <w:right w:val="none" w:sz="0" w:space="0" w:color="auto"/>
      </w:divBdr>
    </w:div>
    <w:div w:id="869876046">
      <w:bodyDiv w:val="1"/>
      <w:marLeft w:val="0"/>
      <w:marRight w:val="0"/>
      <w:marTop w:val="0"/>
      <w:marBottom w:val="0"/>
      <w:divBdr>
        <w:top w:val="none" w:sz="0" w:space="0" w:color="auto"/>
        <w:left w:val="none" w:sz="0" w:space="0" w:color="auto"/>
        <w:bottom w:val="none" w:sz="0" w:space="0" w:color="auto"/>
        <w:right w:val="none" w:sz="0" w:space="0" w:color="auto"/>
      </w:divBdr>
    </w:div>
    <w:div w:id="880288376">
      <w:bodyDiv w:val="1"/>
      <w:marLeft w:val="0"/>
      <w:marRight w:val="0"/>
      <w:marTop w:val="0"/>
      <w:marBottom w:val="0"/>
      <w:divBdr>
        <w:top w:val="none" w:sz="0" w:space="0" w:color="auto"/>
        <w:left w:val="none" w:sz="0" w:space="0" w:color="auto"/>
        <w:bottom w:val="none" w:sz="0" w:space="0" w:color="auto"/>
        <w:right w:val="none" w:sz="0" w:space="0" w:color="auto"/>
      </w:divBdr>
    </w:div>
    <w:div w:id="887497311">
      <w:bodyDiv w:val="1"/>
      <w:marLeft w:val="0"/>
      <w:marRight w:val="0"/>
      <w:marTop w:val="0"/>
      <w:marBottom w:val="0"/>
      <w:divBdr>
        <w:top w:val="none" w:sz="0" w:space="0" w:color="auto"/>
        <w:left w:val="none" w:sz="0" w:space="0" w:color="auto"/>
        <w:bottom w:val="none" w:sz="0" w:space="0" w:color="auto"/>
        <w:right w:val="none" w:sz="0" w:space="0" w:color="auto"/>
      </w:divBdr>
    </w:div>
    <w:div w:id="925573233">
      <w:bodyDiv w:val="1"/>
      <w:marLeft w:val="0"/>
      <w:marRight w:val="0"/>
      <w:marTop w:val="0"/>
      <w:marBottom w:val="0"/>
      <w:divBdr>
        <w:top w:val="none" w:sz="0" w:space="0" w:color="auto"/>
        <w:left w:val="none" w:sz="0" w:space="0" w:color="auto"/>
        <w:bottom w:val="none" w:sz="0" w:space="0" w:color="auto"/>
        <w:right w:val="none" w:sz="0" w:space="0" w:color="auto"/>
      </w:divBdr>
    </w:div>
    <w:div w:id="942154586">
      <w:bodyDiv w:val="1"/>
      <w:marLeft w:val="0"/>
      <w:marRight w:val="0"/>
      <w:marTop w:val="0"/>
      <w:marBottom w:val="0"/>
      <w:divBdr>
        <w:top w:val="none" w:sz="0" w:space="0" w:color="auto"/>
        <w:left w:val="none" w:sz="0" w:space="0" w:color="auto"/>
        <w:bottom w:val="none" w:sz="0" w:space="0" w:color="auto"/>
        <w:right w:val="none" w:sz="0" w:space="0" w:color="auto"/>
      </w:divBdr>
    </w:div>
    <w:div w:id="951010636">
      <w:bodyDiv w:val="1"/>
      <w:marLeft w:val="0"/>
      <w:marRight w:val="0"/>
      <w:marTop w:val="0"/>
      <w:marBottom w:val="0"/>
      <w:divBdr>
        <w:top w:val="none" w:sz="0" w:space="0" w:color="auto"/>
        <w:left w:val="none" w:sz="0" w:space="0" w:color="auto"/>
        <w:bottom w:val="none" w:sz="0" w:space="0" w:color="auto"/>
        <w:right w:val="none" w:sz="0" w:space="0" w:color="auto"/>
      </w:divBdr>
    </w:div>
    <w:div w:id="1036857933">
      <w:bodyDiv w:val="1"/>
      <w:marLeft w:val="0"/>
      <w:marRight w:val="0"/>
      <w:marTop w:val="0"/>
      <w:marBottom w:val="0"/>
      <w:divBdr>
        <w:top w:val="none" w:sz="0" w:space="0" w:color="auto"/>
        <w:left w:val="none" w:sz="0" w:space="0" w:color="auto"/>
        <w:bottom w:val="none" w:sz="0" w:space="0" w:color="auto"/>
        <w:right w:val="none" w:sz="0" w:space="0" w:color="auto"/>
      </w:divBdr>
    </w:div>
    <w:div w:id="1042755213">
      <w:bodyDiv w:val="1"/>
      <w:marLeft w:val="0"/>
      <w:marRight w:val="0"/>
      <w:marTop w:val="0"/>
      <w:marBottom w:val="0"/>
      <w:divBdr>
        <w:top w:val="none" w:sz="0" w:space="0" w:color="auto"/>
        <w:left w:val="none" w:sz="0" w:space="0" w:color="auto"/>
        <w:bottom w:val="none" w:sz="0" w:space="0" w:color="auto"/>
        <w:right w:val="none" w:sz="0" w:space="0" w:color="auto"/>
      </w:divBdr>
    </w:div>
    <w:div w:id="1044716883">
      <w:bodyDiv w:val="1"/>
      <w:marLeft w:val="0"/>
      <w:marRight w:val="0"/>
      <w:marTop w:val="0"/>
      <w:marBottom w:val="0"/>
      <w:divBdr>
        <w:top w:val="none" w:sz="0" w:space="0" w:color="auto"/>
        <w:left w:val="none" w:sz="0" w:space="0" w:color="auto"/>
        <w:bottom w:val="none" w:sz="0" w:space="0" w:color="auto"/>
        <w:right w:val="none" w:sz="0" w:space="0" w:color="auto"/>
      </w:divBdr>
    </w:div>
    <w:div w:id="1060641327">
      <w:bodyDiv w:val="1"/>
      <w:marLeft w:val="0"/>
      <w:marRight w:val="0"/>
      <w:marTop w:val="0"/>
      <w:marBottom w:val="0"/>
      <w:divBdr>
        <w:top w:val="none" w:sz="0" w:space="0" w:color="auto"/>
        <w:left w:val="none" w:sz="0" w:space="0" w:color="auto"/>
        <w:bottom w:val="none" w:sz="0" w:space="0" w:color="auto"/>
        <w:right w:val="none" w:sz="0" w:space="0" w:color="auto"/>
      </w:divBdr>
    </w:div>
    <w:div w:id="1081217069">
      <w:bodyDiv w:val="1"/>
      <w:marLeft w:val="0"/>
      <w:marRight w:val="0"/>
      <w:marTop w:val="0"/>
      <w:marBottom w:val="0"/>
      <w:divBdr>
        <w:top w:val="none" w:sz="0" w:space="0" w:color="auto"/>
        <w:left w:val="none" w:sz="0" w:space="0" w:color="auto"/>
        <w:bottom w:val="none" w:sz="0" w:space="0" w:color="auto"/>
        <w:right w:val="none" w:sz="0" w:space="0" w:color="auto"/>
      </w:divBdr>
    </w:div>
    <w:div w:id="1090930866">
      <w:bodyDiv w:val="1"/>
      <w:marLeft w:val="0"/>
      <w:marRight w:val="0"/>
      <w:marTop w:val="0"/>
      <w:marBottom w:val="0"/>
      <w:divBdr>
        <w:top w:val="none" w:sz="0" w:space="0" w:color="auto"/>
        <w:left w:val="none" w:sz="0" w:space="0" w:color="auto"/>
        <w:bottom w:val="none" w:sz="0" w:space="0" w:color="auto"/>
        <w:right w:val="none" w:sz="0" w:space="0" w:color="auto"/>
      </w:divBdr>
    </w:div>
    <w:div w:id="1106315528">
      <w:bodyDiv w:val="1"/>
      <w:marLeft w:val="0"/>
      <w:marRight w:val="0"/>
      <w:marTop w:val="0"/>
      <w:marBottom w:val="0"/>
      <w:divBdr>
        <w:top w:val="none" w:sz="0" w:space="0" w:color="auto"/>
        <w:left w:val="none" w:sz="0" w:space="0" w:color="auto"/>
        <w:bottom w:val="none" w:sz="0" w:space="0" w:color="auto"/>
        <w:right w:val="none" w:sz="0" w:space="0" w:color="auto"/>
      </w:divBdr>
    </w:div>
    <w:div w:id="1107655414">
      <w:bodyDiv w:val="1"/>
      <w:marLeft w:val="0"/>
      <w:marRight w:val="0"/>
      <w:marTop w:val="0"/>
      <w:marBottom w:val="0"/>
      <w:divBdr>
        <w:top w:val="none" w:sz="0" w:space="0" w:color="auto"/>
        <w:left w:val="none" w:sz="0" w:space="0" w:color="auto"/>
        <w:bottom w:val="none" w:sz="0" w:space="0" w:color="auto"/>
        <w:right w:val="none" w:sz="0" w:space="0" w:color="auto"/>
      </w:divBdr>
    </w:div>
    <w:div w:id="1126510952">
      <w:bodyDiv w:val="1"/>
      <w:marLeft w:val="0"/>
      <w:marRight w:val="0"/>
      <w:marTop w:val="0"/>
      <w:marBottom w:val="0"/>
      <w:divBdr>
        <w:top w:val="none" w:sz="0" w:space="0" w:color="auto"/>
        <w:left w:val="none" w:sz="0" w:space="0" w:color="auto"/>
        <w:bottom w:val="none" w:sz="0" w:space="0" w:color="auto"/>
        <w:right w:val="none" w:sz="0" w:space="0" w:color="auto"/>
      </w:divBdr>
    </w:div>
    <w:div w:id="1148790680">
      <w:bodyDiv w:val="1"/>
      <w:marLeft w:val="0"/>
      <w:marRight w:val="0"/>
      <w:marTop w:val="0"/>
      <w:marBottom w:val="0"/>
      <w:divBdr>
        <w:top w:val="none" w:sz="0" w:space="0" w:color="auto"/>
        <w:left w:val="none" w:sz="0" w:space="0" w:color="auto"/>
        <w:bottom w:val="none" w:sz="0" w:space="0" w:color="auto"/>
        <w:right w:val="none" w:sz="0" w:space="0" w:color="auto"/>
      </w:divBdr>
    </w:div>
    <w:div w:id="1157498877">
      <w:bodyDiv w:val="1"/>
      <w:marLeft w:val="0"/>
      <w:marRight w:val="0"/>
      <w:marTop w:val="0"/>
      <w:marBottom w:val="0"/>
      <w:divBdr>
        <w:top w:val="none" w:sz="0" w:space="0" w:color="auto"/>
        <w:left w:val="none" w:sz="0" w:space="0" w:color="auto"/>
        <w:bottom w:val="none" w:sz="0" w:space="0" w:color="auto"/>
        <w:right w:val="none" w:sz="0" w:space="0" w:color="auto"/>
      </w:divBdr>
    </w:div>
    <w:div w:id="1158811183">
      <w:bodyDiv w:val="1"/>
      <w:marLeft w:val="0"/>
      <w:marRight w:val="0"/>
      <w:marTop w:val="0"/>
      <w:marBottom w:val="0"/>
      <w:divBdr>
        <w:top w:val="none" w:sz="0" w:space="0" w:color="auto"/>
        <w:left w:val="none" w:sz="0" w:space="0" w:color="auto"/>
        <w:bottom w:val="none" w:sz="0" w:space="0" w:color="auto"/>
        <w:right w:val="none" w:sz="0" w:space="0" w:color="auto"/>
      </w:divBdr>
    </w:div>
    <w:div w:id="1253978554">
      <w:bodyDiv w:val="1"/>
      <w:marLeft w:val="0"/>
      <w:marRight w:val="0"/>
      <w:marTop w:val="0"/>
      <w:marBottom w:val="0"/>
      <w:divBdr>
        <w:top w:val="none" w:sz="0" w:space="0" w:color="auto"/>
        <w:left w:val="none" w:sz="0" w:space="0" w:color="auto"/>
        <w:bottom w:val="none" w:sz="0" w:space="0" w:color="auto"/>
        <w:right w:val="none" w:sz="0" w:space="0" w:color="auto"/>
      </w:divBdr>
    </w:div>
    <w:div w:id="1312448163">
      <w:bodyDiv w:val="1"/>
      <w:marLeft w:val="0"/>
      <w:marRight w:val="0"/>
      <w:marTop w:val="0"/>
      <w:marBottom w:val="0"/>
      <w:divBdr>
        <w:top w:val="none" w:sz="0" w:space="0" w:color="auto"/>
        <w:left w:val="none" w:sz="0" w:space="0" w:color="auto"/>
        <w:bottom w:val="none" w:sz="0" w:space="0" w:color="auto"/>
        <w:right w:val="none" w:sz="0" w:space="0" w:color="auto"/>
      </w:divBdr>
    </w:div>
    <w:div w:id="1322583511">
      <w:bodyDiv w:val="1"/>
      <w:marLeft w:val="0"/>
      <w:marRight w:val="0"/>
      <w:marTop w:val="0"/>
      <w:marBottom w:val="0"/>
      <w:divBdr>
        <w:top w:val="none" w:sz="0" w:space="0" w:color="auto"/>
        <w:left w:val="none" w:sz="0" w:space="0" w:color="auto"/>
        <w:bottom w:val="none" w:sz="0" w:space="0" w:color="auto"/>
        <w:right w:val="none" w:sz="0" w:space="0" w:color="auto"/>
      </w:divBdr>
    </w:div>
    <w:div w:id="1508059307">
      <w:bodyDiv w:val="1"/>
      <w:marLeft w:val="0"/>
      <w:marRight w:val="0"/>
      <w:marTop w:val="0"/>
      <w:marBottom w:val="0"/>
      <w:divBdr>
        <w:top w:val="none" w:sz="0" w:space="0" w:color="auto"/>
        <w:left w:val="none" w:sz="0" w:space="0" w:color="auto"/>
        <w:bottom w:val="none" w:sz="0" w:space="0" w:color="auto"/>
        <w:right w:val="none" w:sz="0" w:space="0" w:color="auto"/>
      </w:divBdr>
    </w:div>
    <w:div w:id="1573540200">
      <w:bodyDiv w:val="1"/>
      <w:marLeft w:val="0"/>
      <w:marRight w:val="0"/>
      <w:marTop w:val="0"/>
      <w:marBottom w:val="0"/>
      <w:divBdr>
        <w:top w:val="none" w:sz="0" w:space="0" w:color="auto"/>
        <w:left w:val="none" w:sz="0" w:space="0" w:color="auto"/>
        <w:bottom w:val="none" w:sz="0" w:space="0" w:color="auto"/>
        <w:right w:val="none" w:sz="0" w:space="0" w:color="auto"/>
      </w:divBdr>
    </w:div>
    <w:div w:id="1619217805">
      <w:bodyDiv w:val="1"/>
      <w:marLeft w:val="0"/>
      <w:marRight w:val="0"/>
      <w:marTop w:val="0"/>
      <w:marBottom w:val="0"/>
      <w:divBdr>
        <w:top w:val="none" w:sz="0" w:space="0" w:color="auto"/>
        <w:left w:val="none" w:sz="0" w:space="0" w:color="auto"/>
        <w:bottom w:val="none" w:sz="0" w:space="0" w:color="auto"/>
        <w:right w:val="none" w:sz="0" w:space="0" w:color="auto"/>
      </w:divBdr>
    </w:div>
    <w:div w:id="1619677041">
      <w:bodyDiv w:val="1"/>
      <w:marLeft w:val="0"/>
      <w:marRight w:val="0"/>
      <w:marTop w:val="0"/>
      <w:marBottom w:val="0"/>
      <w:divBdr>
        <w:top w:val="none" w:sz="0" w:space="0" w:color="auto"/>
        <w:left w:val="none" w:sz="0" w:space="0" w:color="auto"/>
        <w:bottom w:val="none" w:sz="0" w:space="0" w:color="auto"/>
        <w:right w:val="none" w:sz="0" w:space="0" w:color="auto"/>
      </w:divBdr>
    </w:div>
    <w:div w:id="1694115357">
      <w:bodyDiv w:val="1"/>
      <w:marLeft w:val="0"/>
      <w:marRight w:val="0"/>
      <w:marTop w:val="0"/>
      <w:marBottom w:val="0"/>
      <w:divBdr>
        <w:top w:val="none" w:sz="0" w:space="0" w:color="auto"/>
        <w:left w:val="none" w:sz="0" w:space="0" w:color="auto"/>
        <w:bottom w:val="none" w:sz="0" w:space="0" w:color="auto"/>
        <w:right w:val="none" w:sz="0" w:space="0" w:color="auto"/>
      </w:divBdr>
    </w:div>
    <w:div w:id="1719622103">
      <w:bodyDiv w:val="1"/>
      <w:marLeft w:val="0"/>
      <w:marRight w:val="0"/>
      <w:marTop w:val="0"/>
      <w:marBottom w:val="0"/>
      <w:divBdr>
        <w:top w:val="none" w:sz="0" w:space="0" w:color="auto"/>
        <w:left w:val="none" w:sz="0" w:space="0" w:color="auto"/>
        <w:bottom w:val="none" w:sz="0" w:space="0" w:color="auto"/>
        <w:right w:val="none" w:sz="0" w:space="0" w:color="auto"/>
      </w:divBdr>
    </w:div>
    <w:div w:id="1731153312">
      <w:bodyDiv w:val="1"/>
      <w:marLeft w:val="0"/>
      <w:marRight w:val="0"/>
      <w:marTop w:val="0"/>
      <w:marBottom w:val="0"/>
      <w:divBdr>
        <w:top w:val="none" w:sz="0" w:space="0" w:color="auto"/>
        <w:left w:val="none" w:sz="0" w:space="0" w:color="auto"/>
        <w:bottom w:val="none" w:sz="0" w:space="0" w:color="auto"/>
        <w:right w:val="none" w:sz="0" w:space="0" w:color="auto"/>
      </w:divBdr>
    </w:div>
    <w:div w:id="1753549530">
      <w:bodyDiv w:val="1"/>
      <w:marLeft w:val="0"/>
      <w:marRight w:val="0"/>
      <w:marTop w:val="0"/>
      <w:marBottom w:val="0"/>
      <w:divBdr>
        <w:top w:val="none" w:sz="0" w:space="0" w:color="auto"/>
        <w:left w:val="none" w:sz="0" w:space="0" w:color="auto"/>
        <w:bottom w:val="none" w:sz="0" w:space="0" w:color="auto"/>
        <w:right w:val="none" w:sz="0" w:space="0" w:color="auto"/>
      </w:divBdr>
    </w:div>
    <w:div w:id="1782190175">
      <w:bodyDiv w:val="1"/>
      <w:marLeft w:val="0"/>
      <w:marRight w:val="0"/>
      <w:marTop w:val="0"/>
      <w:marBottom w:val="0"/>
      <w:divBdr>
        <w:top w:val="none" w:sz="0" w:space="0" w:color="auto"/>
        <w:left w:val="none" w:sz="0" w:space="0" w:color="auto"/>
        <w:bottom w:val="none" w:sz="0" w:space="0" w:color="auto"/>
        <w:right w:val="none" w:sz="0" w:space="0" w:color="auto"/>
      </w:divBdr>
    </w:div>
    <w:div w:id="1783105878">
      <w:bodyDiv w:val="1"/>
      <w:marLeft w:val="0"/>
      <w:marRight w:val="0"/>
      <w:marTop w:val="0"/>
      <w:marBottom w:val="0"/>
      <w:divBdr>
        <w:top w:val="none" w:sz="0" w:space="0" w:color="auto"/>
        <w:left w:val="none" w:sz="0" w:space="0" w:color="auto"/>
        <w:bottom w:val="none" w:sz="0" w:space="0" w:color="auto"/>
        <w:right w:val="none" w:sz="0" w:space="0" w:color="auto"/>
      </w:divBdr>
    </w:div>
    <w:div w:id="1802654660">
      <w:bodyDiv w:val="1"/>
      <w:marLeft w:val="0"/>
      <w:marRight w:val="0"/>
      <w:marTop w:val="0"/>
      <w:marBottom w:val="0"/>
      <w:divBdr>
        <w:top w:val="none" w:sz="0" w:space="0" w:color="auto"/>
        <w:left w:val="none" w:sz="0" w:space="0" w:color="auto"/>
        <w:bottom w:val="none" w:sz="0" w:space="0" w:color="auto"/>
        <w:right w:val="none" w:sz="0" w:space="0" w:color="auto"/>
      </w:divBdr>
    </w:div>
    <w:div w:id="1811049081">
      <w:bodyDiv w:val="1"/>
      <w:marLeft w:val="0"/>
      <w:marRight w:val="0"/>
      <w:marTop w:val="0"/>
      <w:marBottom w:val="0"/>
      <w:divBdr>
        <w:top w:val="none" w:sz="0" w:space="0" w:color="auto"/>
        <w:left w:val="none" w:sz="0" w:space="0" w:color="auto"/>
        <w:bottom w:val="none" w:sz="0" w:space="0" w:color="auto"/>
        <w:right w:val="none" w:sz="0" w:space="0" w:color="auto"/>
      </w:divBdr>
    </w:div>
    <w:div w:id="1864396953">
      <w:bodyDiv w:val="1"/>
      <w:marLeft w:val="0"/>
      <w:marRight w:val="0"/>
      <w:marTop w:val="0"/>
      <w:marBottom w:val="0"/>
      <w:divBdr>
        <w:top w:val="none" w:sz="0" w:space="0" w:color="auto"/>
        <w:left w:val="none" w:sz="0" w:space="0" w:color="auto"/>
        <w:bottom w:val="none" w:sz="0" w:space="0" w:color="auto"/>
        <w:right w:val="none" w:sz="0" w:space="0" w:color="auto"/>
      </w:divBdr>
    </w:div>
    <w:div w:id="1883444936">
      <w:bodyDiv w:val="1"/>
      <w:marLeft w:val="0"/>
      <w:marRight w:val="0"/>
      <w:marTop w:val="0"/>
      <w:marBottom w:val="0"/>
      <w:divBdr>
        <w:top w:val="none" w:sz="0" w:space="0" w:color="auto"/>
        <w:left w:val="none" w:sz="0" w:space="0" w:color="auto"/>
        <w:bottom w:val="none" w:sz="0" w:space="0" w:color="auto"/>
        <w:right w:val="none" w:sz="0" w:space="0" w:color="auto"/>
      </w:divBdr>
    </w:div>
    <w:div w:id="1894346784">
      <w:bodyDiv w:val="1"/>
      <w:marLeft w:val="0"/>
      <w:marRight w:val="0"/>
      <w:marTop w:val="0"/>
      <w:marBottom w:val="0"/>
      <w:divBdr>
        <w:top w:val="none" w:sz="0" w:space="0" w:color="auto"/>
        <w:left w:val="none" w:sz="0" w:space="0" w:color="auto"/>
        <w:bottom w:val="none" w:sz="0" w:space="0" w:color="auto"/>
        <w:right w:val="none" w:sz="0" w:space="0" w:color="auto"/>
      </w:divBdr>
    </w:div>
    <w:div w:id="1908609073">
      <w:bodyDiv w:val="1"/>
      <w:marLeft w:val="0"/>
      <w:marRight w:val="0"/>
      <w:marTop w:val="0"/>
      <w:marBottom w:val="0"/>
      <w:divBdr>
        <w:top w:val="none" w:sz="0" w:space="0" w:color="auto"/>
        <w:left w:val="none" w:sz="0" w:space="0" w:color="auto"/>
        <w:bottom w:val="none" w:sz="0" w:space="0" w:color="auto"/>
        <w:right w:val="none" w:sz="0" w:space="0" w:color="auto"/>
      </w:divBdr>
    </w:div>
    <w:div w:id="2003242413">
      <w:bodyDiv w:val="1"/>
      <w:marLeft w:val="0"/>
      <w:marRight w:val="0"/>
      <w:marTop w:val="0"/>
      <w:marBottom w:val="0"/>
      <w:divBdr>
        <w:top w:val="none" w:sz="0" w:space="0" w:color="auto"/>
        <w:left w:val="none" w:sz="0" w:space="0" w:color="auto"/>
        <w:bottom w:val="none" w:sz="0" w:space="0" w:color="auto"/>
        <w:right w:val="none" w:sz="0" w:space="0" w:color="auto"/>
      </w:divBdr>
    </w:div>
    <w:div w:id="2009746481">
      <w:bodyDiv w:val="1"/>
      <w:marLeft w:val="0"/>
      <w:marRight w:val="0"/>
      <w:marTop w:val="0"/>
      <w:marBottom w:val="0"/>
      <w:divBdr>
        <w:top w:val="none" w:sz="0" w:space="0" w:color="auto"/>
        <w:left w:val="none" w:sz="0" w:space="0" w:color="auto"/>
        <w:bottom w:val="none" w:sz="0" w:space="0" w:color="auto"/>
        <w:right w:val="none" w:sz="0" w:space="0" w:color="auto"/>
      </w:divBdr>
    </w:div>
    <w:div w:id="2023163337">
      <w:bodyDiv w:val="1"/>
      <w:marLeft w:val="0"/>
      <w:marRight w:val="0"/>
      <w:marTop w:val="0"/>
      <w:marBottom w:val="0"/>
      <w:divBdr>
        <w:top w:val="none" w:sz="0" w:space="0" w:color="auto"/>
        <w:left w:val="none" w:sz="0" w:space="0" w:color="auto"/>
        <w:bottom w:val="none" w:sz="0" w:space="0" w:color="auto"/>
        <w:right w:val="none" w:sz="0" w:space="0" w:color="auto"/>
      </w:divBdr>
    </w:div>
    <w:div w:id="2042320093">
      <w:bodyDiv w:val="1"/>
      <w:marLeft w:val="0"/>
      <w:marRight w:val="0"/>
      <w:marTop w:val="0"/>
      <w:marBottom w:val="0"/>
      <w:divBdr>
        <w:top w:val="none" w:sz="0" w:space="0" w:color="auto"/>
        <w:left w:val="none" w:sz="0" w:space="0" w:color="auto"/>
        <w:bottom w:val="none" w:sz="0" w:space="0" w:color="auto"/>
        <w:right w:val="none" w:sz="0" w:space="0" w:color="auto"/>
      </w:divBdr>
    </w:div>
    <w:div w:id="2078168889">
      <w:bodyDiv w:val="1"/>
      <w:marLeft w:val="0"/>
      <w:marRight w:val="0"/>
      <w:marTop w:val="0"/>
      <w:marBottom w:val="0"/>
      <w:divBdr>
        <w:top w:val="none" w:sz="0" w:space="0" w:color="auto"/>
        <w:left w:val="none" w:sz="0" w:space="0" w:color="auto"/>
        <w:bottom w:val="none" w:sz="0" w:space="0" w:color="auto"/>
        <w:right w:val="none" w:sz="0" w:space="0" w:color="auto"/>
      </w:divBdr>
    </w:div>
    <w:div w:id="2142578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6DDB4A-5974-4944-9BAC-DB2E200B1CC4}">
  <we:reference id="4f5fc3d5-136b-4c76-b40a-6b26653cd4f1" version="1.2.0.0" store="EnglishAssistanceProvid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231BBC-34C7-4E72-B5C9-E74FF8FAF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新世纪期货盘前交易提示2019.3.21.dotx</Template>
  <TotalTime>13</TotalTime>
  <Pages>7</Pages>
  <Words>1453</Words>
  <Characters>8284</Characters>
  <Application>Microsoft Office Word</Application>
  <DocSecurity>0</DocSecurity>
  <Lines>69</Lines>
  <Paragraphs>19</Paragraphs>
  <ScaleCrop>false</ScaleCrop>
  <Company>Microsoft</Company>
  <LinksUpToDate>false</LinksUpToDate>
  <CharactersWithSpaces>9718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避险拉动，金牛隐现</dc:title>
  <dc:creator>AutoBVT</dc:creator>
  <cp:lastModifiedBy>陈凯杰</cp:lastModifiedBy>
  <cp:revision>3</cp:revision>
  <cp:lastPrinted>2021-02-01T00:40:00Z</cp:lastPrinted>
  <dcterms:created xsi:type="dcterms:W3CDTF">2021-06-04T00:31:00Z</dcterms:created>
  <dcterms:modified xsi:type="dcterms:W3CDTF">2021-06-04T00:44:00Z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2052-11.1.0.10359</vt:lpwstr>
  </property>
  <property fmtid="{D5CDD505-2E9C-101B-9397-08002B2CF9AE}" pid="3" name="ICV">
    <vt:lpwstr>5478A458F0774A69A6891ACB969380EC</vt:lpwstr>
  </property>
</Properties>
</file>