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3804"/>
        </w:tabs>
        <w:spacing w:before="312" w:beforeLines="100" w:after="312" w:afterLines="100" w:line="480" w:lineRule="auto"/>
        <w:rPr>
          <w:rFonts w:ascii="宋体" w:hAnsi="宋体"/>
          <w:color w:val="FFFFFF"/>
          <w:sz w:val="28"/>
        </w:rPr>
      </w:pPr>
      <w:r>
        <w:rPr>
          <w:rFonts w:ascii="黑体" w:hAnsi="宋体" w:eastAsia="黑体"/>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w:instrText>
                            </w:r>
                            <w:r>
                              <w:rPr>
                                <w:rFonts w:hint="eastAsia" w:ascii="黑体" w:hAnsi="Arial Black" w:eastAsia="黑体"/>
                                <w:color w:val="FFFFFF"/>
                                <w:sz w:val="28"/>
                              </w:rPr>
                              <w:fldChar w:fldCharType="separate"/>
                            </w:r>
                            <w:r>
                              <w:rPr>
                                <w:rFonts w:hint="eastAsia" w:ascii="黑体" w:hAnsi="Arial Black" w:eastAsia="黑体"/>
                                <w:color w:val="FFFFFF"/>
                                <w:sz w:val="28"/>
                              </w:rPr>
                              <w:t>2021年5月10日星期一</w:t>
                            </w:r>
                            <w:r>
                              <w:rPr>
                                <w:rFonts w:hint="eastAsia" w:ascii="黑体" w:hAnsi="Arial Black" w:eastAsia="黑体"/>
                                <w:color w:val="FFFFFF"/>
                                <w:sz w:val="28"/>
                              </w:rPr>
                              <w:fldChar w:fldCharType="end"/>
                            </w:r>
                          </w:p>
                        </w:txbxContent>
                      </wps:txbx>
                      <wps:bodyPr wrap="square" upright="1"/>
                    </wps:wsp>
                  </a:graphicData>
                </a:graphic>
              </wp:anchor>
            </w:drawing>
          </mc:Choice>
          <mc:Fallback>
            <w:pict>
              <v:shape id="Text Box 2" o:spid="_x0000_s1026" o:spt="202" type="#_x0000_t202" style="position:absolute;left:0pt;margin-left:350.75pt;margin-top:7.8pt;height:31.2pt;width:178.55pt;z-index:251660288;mso-width-relative:page;mso-height-relative:page;" filled="f" stroked="f" coordsize="21600,21600" o:gfxdata="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UHKNbdUAAAAKAQAADwAAAAAAAAABACAAAAAiAAAAZHJzL2Rvd25yZXYueG1sUEsBAhQAFAAAAAgA&#10;h07iQLEO9hq2AQAAcwMAAA4AAAAAAAAAAQAgAAAAJAEAAGRycy9lMm9Eb2MueG1sUEsFBgAAAAAG&#10;AAYAWQEAAEwFAAAAAA==&#10;">
                <v:fill on="f" focussize="0,0"/>
                <v:stroke on="f"/>
                <v:imagedata o:title=""/>
                <o:lock v:ext="edit" aspectratio="f"/>
                <v:textbo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w:instrText>
                      </w:r>
                      <w:r>
                        <w:rPr>
                          <w:rFonts w:hint="eastAsia" w:ascii="黑体" w:hAnsi="Arial Black" w:eastAsia="黑体"/>
                          <w:color w:val="FFFFFF"/>
                          <w:sz w:val="28"/>
                        </w:rPr>
                        <w:fldChar w:fldCharType="separate"/>
                      </w:r>
                      <w:r>
                        <w:rPr>
                          <w:rFonts w:hint="eastAsia" w:ascii="黑体" w:hAnsi="Arial Black" w:eastAsia="黑体"/>
                          <w:color w:val="FFFFFF"/>
                          <w:sz w:val="28"/>
                        </w:rPr>
                        <w:t>2021年5月10日星期一</w:t>
                      </w:r>
                      <w:r>
                        <w:rPr>
                          <w:rFonts w:hint="eastAsia" w:ascii="黑体" w:hAnsi="Arial Black" w:eastAsia="黑体"/>
                          <w:color w:val="FFFFFF"/>
                          <w:sz w:val="28"/>
                        </w:rPr>
                        <w:fldChar w:fldCharType="end"/>
                      </w:r>
                    </w:p>
                  </w:txbxContent>
                </v:textbox>
              </v:shape>
            </w:pict>
          </mc:Fallback>
        </mc:AlternateContent>
      </w:r>
      <w:r>
        <w:rPr>
          <w:rFonts w:ascii="黑体" w:hAnsi="宋体" w:eastAsia="黑体"/>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hint="eastAsia" w:ascii="黑体" w:hAnsi="宋体" w:eastAsia="黑体"/>
          <w:color w:val="FFFFFF"/>
          <w:sz w:val="28"/>
        </w:rPr>
        <w:t xml:space="preserve">研究院：0571-85165192，85058093 </w:t>
      </w:r>
    </w:p>
    <w:p>
      <w:pPr>
        <w:jc w:val="center"/>
        <w:rPr>
          <w:rFonts w:ascii="宋体" w:hAnsi="宋体"/>
          <w:b/>
          <w:sz w:val="30"/>
        </w:rPr>
      </w:pPr>
      <w:r>
        <w:rPr>
          <w:rFonts w:hint="eastAsia" w:ascii="宋体" w:hAnsi="宋体"/>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Pr>
          <w:rFonts w:ascii="宋体" w:hAnsi="宋体"/>
          <w:b/>
          <w:sz w:val="30"/>
        </w:rPr>
        <w:t>2021-5-10</w:t>
      </w:r>
      <w:r>
        <w:rPr>
          <w:rFonts w:ascii="宋体" w:hAnsi="宋体"/>
          <w:b/>
          <w:sz w:val="30"/>
        </w:rPr>
        <w:fldChar w:fldCharType="end"/>
      </w:r>
      <w:r>
        <w:rPr>
          <w:rFonts w:hint="eastAsia" w:ascii="宋体" w:hAnsi="宋体"/>
          <w:b/>
          <w:sz w:val="30"/>
        </w:rPr>
        <w:t>）</w:t>
      </w:r>
    </w:p>
    <w:p>
      <w:pPr>
        <w:widowControl/>
        <w:numPr>
          <w:ilvl w:val="0"/>
          <w:numId w:val="1"/>
        </w:numPr>
        <w:spacing w:line="300" w:lineRule="auto"/>
        <w:jc w:val="left"/>
        <w:rPr>
          <w:sz w:val="24"/>
        </w:rPr>
      </w:pPr>
      <w:bookmarkStart w:id="0" w:name="OLE_LINK7"/>
      <w:bookmarkStart w:id="1" w:name="OLE_LINK6"/>
      <w:bookmarkStart w:id="2" w:name="OLE_LINK1"/>
      <w:r>
        <w:rPr>
          <w:rFonts w:hint="eastAsia"/>
          <w:sz w:val="24"/>
        </w:rPr>
        <w:t>市场点评</w:t>
      </w:r>
    </w:p>
    <w:tbl>
      <w:tblPr>
        <w:tblStyle w:val="88"/>
        <w:tblW w:w="10057" w:type="dxa"/>
        <w:jc w:val="center"/>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
      <w:tblGrid>
        <w:gridCol w:w="630"/>
        <w:gridCol w:w="924"/>
        <w:gridCol w:w="1123"/>
        <w:gridCol w:w="7380"/>
      </w:tblGrid>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482" w:hRule="atLeast"/>
          <w:jc w:val="center"/>
        </w:trPr>
        <w:tc>
          <w:tcPr>
            <w:tcW w:w="630" w:type="dxa"/>
            <w:vMerge w:val="restart"/>
            <w:vAlign w:val="center"/>
          </w:tcPr>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黑</w:t>
            </w:r>
          </w:p>
          <w:p>
            <w:pPr>
              <w:jc w:val="center"/>
              <w:rPr>
                <w:rFonts w:ascii="宋体" w:hAnsi="宋体"/>
                <w:b/>
                <w:sz w:val="24"/>
                <w:szCs w:val="21"/>
              </w:rPr>
            </w:pPr>
            <w:r>
              <w:rPr>
                <w:rFonts w:hint="eastAsia" w:ascii="宋体" w:hAnsi="宋体"/>
                <w:b/>
                <w:sz w:val="24"/>
                <w:szCs w:val="21"/>
              </w:rPr>
              <w:t>色</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业</w:t>
            </w:r>
          </w:p>
        </w:tc>
        <w:tc>
          <w:tcPr>
            <w:tcW w:w="924" w:type="dxa"/>
          </w:tcPr>
          <w:p>
            <w:pPr>
              <w:rPr>
                <w:rFonts w:ascii="宋体" w:hAnsi="宋体"/>
                <w:szCs w:val="21"/>
              </w:rPr>
            </w:pPr>
          </w:p>
          <w:p>
            <w:pPr>
              <w:jc w:val="center"/>
              <w:rPr>
                <w:rFonts w:ascii="宋体" w:hAnsi="宋体"/>
                <w:szCs w:val="21"/>
              </w:rPr>
            </w:pPr>
            <w:r>
              <w:rPr>
                <w:rFonts w:hint="eastAsia" w:ascii="宋体" w:hAnsi="宋体"/>
                <w:szCs w:val="21"/>
              </w:rPr>
              <w:t>螺纹</w:t>
            </w:r>
          </w:p>
        </w:tc>
        <w:tc>
          <w:tcPr>
            <w:tcW w:w="1123" w:type="dxa"/>
          </w:tcPr>
          <w:p/>
          <w:p>
            <w:pPr>
              <w:jc w:val="center"/>
            </w:pPr>
            <w:r>
              <w:rPr>
                <w:rFonts w:hint="eastAsia"/>
              </w:rPr>
              <w:t>偏多</w:t>
            </w:r>
          </w:p>
        </w:tc>
        <w:tc>
          <w:tcPr>
            <w:tcW w:w="7380" w:type="dxa"/>
            <w:vMerge w:val="restart"/>
          </w:tcPr>
          <w:p>
            <w:pPr>
              <w:rPr>
                <w:rFonts w:ascii="宋体" w:hAnsi="宋体" w:cs="宋体"/>
                <w:sz w:val="18"/>
                <w:szCs w:val="18"/>
              </w:rPr>
            </w:pPr>
            <w:r>
              <w:rPr>
                <w:rFonts w:hint="eastAsia" w:ascii="宋体" w:hAnsi="宋体" w:cs="宋体"/>
                <w:b/>
                <w:sz w:val="18"/>
                <w:szCs w:val="18"/>
              </w:rPr>
              <w:t>螺纹：</w:t>
            </w:r>
            <w:r>
              <w:rPr>
                <w:rFonts w:hint="eastAsia" w:ascii="宋体" w:hAnsi="宋体" w:cs="宋体"/>
                <w:bCs/>
                <w:sz w:val="18"/>
                <w:szCs w:val="18"/>
              </w:rPr>
              <w:t>螺纹现货价格涨</w:t>
            </w:r>
            <w:r>
              <w:rPr>
                <w:rFonts w:ascii="宋体" w:hAnsi="宋体" w:cs="宋体"/>
                <w:bCs/>
                <w:sz w:val="18"/>
                <w:szCs w:val="18"/>
              </w:rPr>
              <w:t>190</w:t>
            </w:r>
            <w:r>
              <w:rPr>
                <w:rFonts w:hint="eastAsia" w:ascii="宋体" w:hAnsi="宋体" w:cs="宋体"/>
                <w:bCs/>
                <w:sz w:val="18"/>
                <w:szCs w:val="18"/>
              </w:rPr>
              <w:t>元/吨，5月钢坯涨超500，钢厂高利润得以持续，增产扩产动力强。成材基本面依旧较好，终端需求保持良好水平，库存加速去库，成材价格有望高位运行，电炉持续高产并且致力于提产。虽然限产继续，邯郸制定钢铁生产调控方案，唐山再发限产通知，国家对于压缩粗钢产量的方针政策也在持续，但产量短期维持高位。目前处于二季度消费旺季，华东消费加速，北方气温转暖，工地施工加速，现货需求持续好转。钢厂利润空间进一步拓展，电炉钢的供应量继续增加，一定程度上弥补了北方高炉减产的缺口，螺纹产量六连增。房地产数据整体依然稳中向好 ，销售数据靓丽，行业韧性十足。螺纹钢价格创出新高，长期看螺纹将迎来新牛市，偏多为主。</w:t>
            </w:r>
          </w:p>
          <w:p>
            <w:pPr>
              <w:rPr>
                <w:rFonts w:ascii="宋体" w:hAnsi="宋体" w:cs="宋体"/>
                <w:bCs/>
                <w:sz w:val="18"/>
                <w:szCs w:val="18"/>
              </w:rPr>
            </w:pPr>
            <w:r>
              <w:rPr>
                <w:rFonts w:hint="eastAsia" w:ascii="宋体" w:hAnsi="宋体" w:cs="宋体"/>
                <w:b/>
                <w:sz w:val="18"/>
                <w:szCs w:val="18"/>
              </w:rPr>
              <w:t>铁矿：</w:t>
            </w:r>
            <w:r>
              <w:rPr>
                <w:rFonts w:hint="eastAsia" w:ascii="宋体" w:hAnsi="宋体" w:cs="宋体"/>
                <w:bCs/>
                <w:sz w:val="18"/>
                <w:szCs w:val="18"/>
              </w:rPr>
              <w:t>普氏指数刷出</w:t>
            </w:r>
            <w:r>
              <w:rPr>
                <w:rFonts w:hint="eastAsia" w:ascii="宋体" w:hAnsi="宋体" w:cs="宋体"/>
                <w:bCs/>
                <w:sz w:val="18"/>
                <w:szCs w:val="18"/>
                <w:lang w:val="en-US" w:eastAsia="zh-CN"/>
              </w:rPr>
              <w:t>212</w:t>
            </w:r>
            <w:r>
              <w:rPr>
                <w:rFonts w:hint="eastAsia" w:ascii="宋体" w:hAnsi="宋体" w:cs="宋体"/>
                <w:bCs/>
                <w:sz w:val="18"/>
                <w:szCs w:val="18"/>
              </w:rPr>
              <w:t>.</w:t>
            </w:r>
            <w:r>
              <w:rPr>
                <w:rFonts w:hint="eastAsia" w:ascii="宋体" w:hAnsi="宋体" w:cs="宋体"/>
                <w:bCs/>
                <w:sz w:val="18"/>
                <w:szCs w:val="18"/>
                <w:lang w:val="en-US" w:eastAsia="zh-CN"/>
              </w:rPr>
              <w:t>7</w:t>
            </w:r>
            <w:bookmarkStart w:id="4" w:name="_GoBack"/>
            <w:bookmarkEnd w:id="4"/>
            <w:r>
              <w:rPr>
                <w:rFonts w:hint="eastAsia" w:ascii="宋体" w:hAnsi="宋体" w:cs="宋体"/>
                <w:bCs/>
                <w:sz w:val="18"/>
                <w:szCs w:val="18"/>
              </w:rPr>
              <w:t>5新高，澳洲发运环比大增，同比表现转正，其中力拓和必和必拓增量较为明显 ；淡水河谷发运维持震荡，今年受极端天气影响明显较小，预计后续到港量将逐渐回升。螺纹限产压制了短期需求，在其它地区检修结束、高炉投产、高利 润刺激增产下，铁水产量后期预计仍有上升空间，加之成材的极高利润，利润自下而上传导可能，补库意愿仍较强。钢厂在高利润下采购转向中高品矿，高低品价差拉大。港口铁矿石库存小幅增加，钢厂铁矿石库存较节前减少3-5天。成材大幅拉涨，带动原料端补库需求，市场氛围依然较好，铁矿偏强。</w:t>
            </w:r>
          </w:p>
          <w:p>
            <w:pPr>
              <w:rPr>
                <w:rFonts w:ascii="宋体" w:hAnsi="宋体" w:cs="宋体"/>
                <w:bCs/>
                <w:sz w:val="18"/>
                <w:szCs w:val="18"/>
              </w:rPr>
            </w:pPr>
            <w:r>
              <w:rPr>
                <w:rFonts w:hint="eastAsia" w:ascii="宋体" w:hAnsi="宋体" w:cs="宋体"/>
                <w:b/>
                <w:sz w:val="18"/>
                <w:szCs w:val="18"/>
              </w:rPr>
              <w:t>动力煤</w:t>
            </w:r>
            <w:r>
              <w:rPr>
                <w:rFonts w:hint="eastAsia" w:ascii="宋体" w:hAnsi="宋体" w:cs="宋体"/>
                <w:bCs/>
                <w:sz w:val="18"/>
                <w:szCs w:val="18"/>
              </w:rPr>
              <w:t>：现货端产地煤价维持正常水平，内蒙上调10-20元/吨，榆林上调20元/吨，销售并未受假期影响而降温。随着大秦线检修结束，发运恢复之前水平，但北方港库存增量不及预期，仅增加33万吨。需求方面，为了迎接日耗高峰，假期期间电厂检修较多。整体来看，后续日耗会逐步回升，下游电厂库存仍旧低位，电厂补库任务比较重，港口贸易商对节后后市情绪乐观，捂货不出，也反应下游需求的确旺盛。</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058"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铁矿石</w:t>
            </w:r>
          </w:p>
        </w:tc>
        <w:tc>
          <w:tcPr>
            <w:tcW w:w="1123" w:type="dxa"/>
            <w:vAlign w:val="center"/>
          </w:tcPr>
          <w:p>
            <w:pPr>
              <w:jc w:val="center"/>
            </w:pPr>
            <w:r>
              <w:rPr>
                <w:rFonts w:hint="eastAsia"/>
              </w:rPr>
              <w:t>偏强</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619"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ind w:firstLine="105" w:firstLineChars="50"/>
              <w:rPr>
                <w:rFonts w:ascii="宋体" w:hAnsi="宋体"/>
                <w:szCs w:val="21"/>
              </w:rPr>
            </w:pPr>
            <w:r>
              <w:rPr>
                <w:rFonts w:hint="eastAsia" w:ascii="宋体" w:hAnsi="宋体"/>
                <w:szCs w:val="21"/>
              </w:rPr>
              <w:t>焦煤</w:t>
            </w:r>
          </w:p>
        </w:tc>
        <w:tc>
          <w:tcPr>
            <w:tcW w:w="1123" w:type="dxa"/>
            <w:vAlign w:val="center"/>
          </w:tcPr>
          <w:p>
            <w:pPr>
              <w:jc w:val="center"/>
            </w:pPr>
            <w:r>
              <w:rPr>
                <w:rFonts w:hint="eastAsia"/>
              </w:rPr>
              <w:t>偏强</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557"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焦炭</w:t>
            </w:r>
          </w:p>
        </w:tc>
        <w:tc>
          <w:tcPr>
            <w:tcW w:w="1123" w:type="dxa"/>
            <w:vAlign w:val="center"/>
          </w:tcPr>
          <w:p>
            <w:pPr>
              <w:widowControl/>
              <w:jc w:val="center"/>
              <w:rPr>
                <w:rFonts w:ascii="宋体" w:hAnsi="宋体"/>
                <w:szCs w:val="21"/>
              </w:rPr>
            </w:pPr>
            <w:r>
              <w:rPr>
                <w:rFonts w:hint="eastAsia"/>
              </w:rPr>
              <w:t>反弹</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46"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动力煤</w:t>
            </w:r>
          </w:p>
        </w:tc>
        <w:tc>
          <w:tcPr>
            <w:tcW w:w="1123" w:type="dxa"/>
            <w:vAlign w:val="center"/>
          </w:tcPr>
          <w:p>
            <w:pPr>
              <w:jc w:val="center"/>
              <w:rPr>
                <w:rFonts w:ascii="宋体" w:hAnsi="宋体"/>
                <w:kern w:val="0"/>
                <w:szCs w:val="21"/>
              </w:rPr>
            </w:pPr>
            <w:r>
              <w:rPr>
                <w:rFonts w:hint="eastAsia"/>
              </w:rPr>
              <w:t>偏强</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905" w:hRule="atLeast"/>
          <w:jc w:val="center"/>
        </w:trPr>
        <w:tc>
          <w:tcPr>
            <w:tcW w:w="630" w:type="dxa"/>
            <w:vMerge w:val="restart"/>
            <w:vAlign w:val="center"/>
          </w:tcPr>
          <w:p>
            <w:pPr>
              <w:jc w:val="center"/>
              <w:rPr>
                <w:rFonts w:ascii="宋体" w:hAnsi="宋体"/>
                <w:b/>
                <w:sz w:val="24"/>
                <w:szCs w:val="21"/>
              </w:rPr>
            </w:pPr>
            <w:r>
              <w:rPr>
                <w:rFonts w:hint="eastAsia" w:ascii="宋体" w:hAnsi="宋体"/>
                <w:b/>
                <w:sz w:val="24"/>
                <w:szCs w:val="21"/>
              </w:rPr>
              <w:t>有色金属</w:t>
            </w:r>
          </w:p>
        </w:tc>
        <w:tc>
          <w:tcPr>
            <w:tcW w:w="924" w:type="dxa"/>
            <w:vAlign w:val="center"/>
          </w:tcPr>
          <w:p>
            <w:pPr>
              <w:jc w:val="center"/>
              <w:rPr>
                <w:rFonts w:ascii="宋体" w:hAnsi="宋体"/>
                <w:szCs w:val="21"/>
              </w:rPr>
            </w:pPr>
            <w:r>
              <w:rPr>
                <w:rFonts w:hint="eastAsia" w:ascii="宋体" w:hAnsi="宋体"/>
                <w:szCs w:val="21"/>
              </w:rPr>
              <w:t>铜</w:t>
            </w:r>
          </w:p>
        </w:tc>
        <w:tc>
          <w:tcPr>
            <w:tcW w:w="1123" w:type="dxa"/>
            <w:vAlign w:val="center"/>
          </w:tcPr>
          <w:p>
            <w:pPr>
              <w:jc w:val="center"/>
              <w:rPr>
                <w:rFonts w:ascii="宋体" w:hAnsi="宋体"/>
                <w:kern w:val="0"/>
                <w:szCs w:val="21"/>
              </w:rPr>
            </w:pPr>
            <w:r>
              <w:rPr>
                <w:rFonts w:hint="eastAsia" w:ascii="宋体" w:hAnsi="宋体"/>
                <w:kern w:val="0"/>
                <w:szCs w:val="21"/>
              </w:rPr>
              <w:t>短线与中线多单谨慎持有</w:t>
            </w:r>
          </w:p>
        </w:tc>
        <w:tc>
          <w:tcPr>
            <w:tcW w:w="7380" w:type="dxa"/>
            <w:vMerge w:val="restart"/>
          </w:tcPr>
          <w:p>
            <w:pPr>
              <w:rPr>
                <w:rFonts w:hint="eastAsia" w:ascii="宋体" w:hAnsi="宋体" w:cs="宋体"/>
                <w:sz w:val="18"/>
                <w:szCs w:val="18"/>
              </w:rPr>
            </w:pPr>
            <w:r>
              <w:rPr>
                <w:rFonts w:hint="eastAsia" w:ascii="宋体" w:hAnsi="宋体" w:cs="宋体"/>
                <w:b/>
                <w:sz w:val="18"/>
                <w:szCs w:val="18"/>
              </w:rPr>
              <w:t>铜</w:t>
            </w:r>
            <w:r>
              <w:rPr>
                <w:rFonts w:hint="eastAsia" w:ascii="宋体" w:hAnsi="宋体" w:cs="宋体"/>
                <w:sz w:val="18"/>
                <w:szCs w:val="18"/>
              </w:rPr>
              <w:t>：欧美数据强劲 VS 铜价高企抑制下游消费 沪铜高开高走震荡走强</w:t>
            </w:r>
          </w:p>
          <w:p>
            <w:pPr>
              <w:rPr>
                <w:rFonts w:hint="eastAsia" w:ascii="宋体" w:hAnsi="宋体" w:cs="宋体"/>
                <w:sz w:val="18"/>
                <w:szCs w:val="18"/>
              </w:rPr>
            </w:pPr>
            <w:r>
              <w:rPr>
                <w:rFonts w:hint="eastAsia" w:ascii="宋体" w:hAnsi="宋体" w:cs="宋体"/>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pPr>
              <w:rPr>
                <w:rFonts w:hint="eastAsia" w:ascii="宋体" w:hAnsi="宋体" w:cs="宋体"/>
                <w:sz w:val="18"/>
                <w:szCs w:val="18"/>
              </w:rPr>
            </w:pPr>
            <w:r>
              <w:rPr>
                <w:rFonts w:hint="eastAsia" w:ascii="宋体" w:hAnsi="宋体" w:cs="宋体"/>
                <w:sz w:val="18"/>
                <w:szCs w:val="18"/>
              </w:rPr>
              <w:t>关注欧美的疫情与国内的疫情变化、南美铜矿的供应、碳中和与新能源汽车以及中美两国的基建对铜需求的拉动影响、美联储的货币政策变化、美债收益率与美元指数的变化、美国基建计划的变数</w:t>
            </w:r>
          </w:p>
          <w:p>
            <w:pPr>
              <w:rPr>
                <w:rFonts w:ascii="宋体" w:hAnsi="宋体" w:cs="宋体"/>
                <w:sz w:val="18"/>
                <w:szCs w:val="18"/>
              </w:rPr>
            </w:pPr>
          </w:p>
          <w:p>
            <w:pPr>
              <w:rPr>
                <w:rFonts w:hint="eastAsia" w:ascii="宋体" w:hAnsi="宋体" w:cs="宋体"/>
                <w:sz w:val="18"/>
                <w:szCs w:val="18"/>
              </w:rPr>
            </w:pPr>
            <w:r>
              <w:rPr>
                <w:rFonts w:hint="eastAsia" w:ascii="宋体" w:hAnsi="宋体" w:cs="宋体"/>
                <w:sz w:val="18"/>
                <w:szCs w:val="18"/>
              </w:rPr>
              <w:t>铝：中澳关系紧张引发铝土矿与氧化铝供应忧虑  沪铝高开高走震荡上行</w:t>
            </w:r>
          </w:p>
          <w:p>
            <w:pPr>
              <w:rPr>
                <w:rFonts w:hint="eastAsia" w:ascii="宋体" w:hAnsi="宋体" w:cs="宋体"/>
                <w:sz w:val="18"/>
                <w:szCs w:val="18"/>
              </w:rPr>
            </w:pPr>
            <w:r>
              <w:rPr>
                <w:rFonts w:hint="eastAsia" w:ascii="宋体" w:hAnsi="宋体" w:cs="宋体"/>
                <w:sz w:val="18"/>
                <w:szCs w:val="18"/>
              </w:rPr>
              <w:t>从当前的下游消费需求来看，当前，下游消费复苏明显；从当前社会库存变化来看，拐头迹象已非常明显，旺季去库依然可期，此外，在碳排放-碳中和相关政策利好下，电解铝供应干扰提升，这将对铝价形成利多支撑。</w:t>
            </w:r>
          </w:p>
          <w:p>
            <w:pPr>
              <w:rPr>
                <w:rFonts w:hint="eastAsia" w:ascii="宋体" w:hAnsi="宋体" w:cs="宋体"/>
                <w:sz w:val="18"/>
                <w:szCs w:val="18"/>
              </w:rPr>
            </w:pPr>
            <w:r>
              <w:rPr>
                <w:rFonts w:hint="eastAsia" w:ascii="宋体" w:hAnsi="宋体" w:cs="宋体"/>
                <w:sz w:val="18"/>
                <w:szCs w:val="18"/>
              </w:rPr>
              <w:t>关注秋碳中和与碳达峰对运行产能与新增产能投放的影响、交易所的库存变化与消费的变化、新能源车的发展、内蒙推进减产进程</w:t>
            </w:r>
          </w:p>
          <w:p>
            <w:pPr>
              <w:rPr>
                <w:rFonts w:ascii="宋体" w:hAnsi="宋体" w:cs="宋体"/>
                <w:sz w:val="18"/>
                <w:szCs w:val="18"/>
              </w:rPr>
            </w:pPr>
          </w:p>
          <w:p>
            <w:pPr>
              <w:rPr>
                <w:rFonts w:hint="eastAsia" w:ascii="宋体" w:hAnsi="宋体" w:cs="宋体"/>
                <w:sz w:val="18"/>
                <w:szCs w:val="18"/>
              </w:rPr>
            </w:pPr>
            <w:r>
              <w:rPr>
                <w:rFonts w:hint="eastAsia" w:ascii="宋体" w:hAnsi="宋体" w:cs="宋体"/>
                <w:b/>
                <w:sz w:val="18"/>
                <w:szCs w:val="18"/>
              </w:rPr>
              <w:t>锌：</w:t>
            </w:r>
            <w:r>
              <w:rPr>
                <w:rFonts w:hint="eastAsia" w:ascii="宋体" w:hAnsi="宋体" w:cs="宋体"/>
                <w:sz w:val="18"/>
                <w:szCs w:val="18"/>
              </w:rPr>
              <w:t>中澳关系紧张引发矿端供应忧虑   沪锌高开高走震荡上行</w:t>
            </w:r>
          </w:p>
          <w:p>
            <w:pPr>
              <w:rPr>
                <w:rFonts w:hint="eastAsia" w:ascii="宋体" w:hAnsi="宋体" w:cs="宋体"/>
                <w:sz w:val="18"/>
                <w:szCs w:val="18"/>
              </w:rPr>
            </w:pPr>
            <w:r>
              <w:rPr>
                <w:rFonts w:hint="eastAsia" w:ascii="宋体" w:hAnsi="宋体" w:cs="宋体"/>
                <w:sz w:val="18"/>
                <w:szCs w:val="18"/>
              </w:rPr>
              <w:t>一方面，从海关数据来看，虽然3月我国精锌进口环比增与同比均大幅增加，但从实际进口量叠加国内产量及社库来看，总供应量仍维持紧平衡结构，供应形势并没有发生实质性的改变；另一方面，从当前的现货市场情况来看，下游消费依然向好，这将对锌价形成上涨支撑。</w:t>
            </w:r>
          </w:p>
          <w:p>
            <w:pPr>
              <w:rPr>
                <w:rFonts w:hint="eastAsia" w:ascii="宋体" w:hAnsi="宋体" w:cs="宋体"/>
                <w:sz w:val="18"/>
                <w:szCs w:val="18"/>
              </w:rPr>
            </w:pPr>
            <w:r>
              <w:rPr>
                <w:rFonts w:hint="eastAsia" w:ascii="宋体" w:hAnsi="宋体" w:cs="宋体"/>
                <w:sz w:val="18"/>
                <w:szCs w:val="18"/>
              </w:rPr>
              <w:t>关注加工费的持续下滑与矿端供应收紧、炼厂的检修计划、下游的开工率与产能利用率、下游的环保限产情况、美国基建的变数</w:t>
            </w:r>
          </w:p>
          <w:p>
            <w:pPr>
              <w:rPr>
                <w:rFonts w:ascii="宋体" w:hAnsi="宋体" w:cs="宋体"/>
                <w:sz w:val="18"/>
                <w:szCs w:val="18"/>
              </w:rPr>
            </w:pPr>
          </w:p>
          <w:p>
            <w:pPr>
              <w:rPr>
                <w:rFonts w:hint="eastAsia" w:ascii="宋体" w:hAnsi="宋体" w:cs="宋体"/>
                <w:sz w:val="18"/>
                <w:szCs w:val="18"/>
              </w:rPr>
            </w:pPr>
            <w:r>
              <w:rPr>
                <w:rFonts w:hint="eastAsia" w:ascii="宋体" w:hAnsi="宋体" w:cs="宋体"/>
                <w:b/>
                <w:sz w:val="18"/>
                <w:szCs w:val="18"/>
              </w:rPr>
              <w:t>铅：</w:t>
            </w:r>
            <w:r>
              <w:rPr>
                <w:rFonts w:hint="eastAsia" w:ascii="宋体" w:hAnsi="宋体" w:cs="宋体"/>
                <w:sz w:val="18"/>
                <w:szCs w:val="18"/>
              </w:rPr>
              <w:t>原再生铅价差走阔 下游消费持续低迷 沪铅高开震荡整理</w:t>
            </w:r>
          </w:p>
          <w:p>
            <w:pPr>
              <w:rPr>
                <w:rFonts w:hint="eastAsia" w:ascii="宋体" w:hAnsi="宋体" w:cs="宋体"/>
                <w:sz w:val="18"/>
                <w:szCs w:val="18"/>
              </w:rPr>
            </w:pPr>
            <w:r>
              <w:rPr>
                <w:rFonts w:hint="eastAsia" w:ascii="宋体" w:hAnsi="宋体" w:cs="宋体"/>
                <w:sz w:val="18"/>
                <w:szCs w:val="18"/>
              </w:rPr>
              <w:t>虽然矿端供应略微偏紧，但炼厂供应压力有所下降，短期的铅价有所上扬，不过在下游需求未见好转的情况下，铅价上行动能不强，或将回归下行趋势。</w:t>
            </w:r>
          </w:p>
          <w:p>
            <w:pPr>
              <w:rPr>
                <w:rFonts w:hint="eastAsia" w:ascii="宋体" w:hAnsi="宋体" w:cs="宋体"/>
                <w:sz w:val="18"/>
                <w:szCs w:val="18"/>
              </w:rPr>
            </w:pPr>
            <w:r>
              <w:rPr>
                <w:rFonts w:hint="eastAsia" w:ascii="宋体" w:hAnsi="宋体" w:cs="宋体"/>
                <w:sz w:val="18"/>
                <w:szCs w:val="18"/>
              </w:rPr>
              <w:t>关注秘鲁疫情防控措施对铅矿供应的影响、原生铅与再生铅的供应变化、下游汽车消费需求与电动自行车的消费需求变化、下游蓄企的备货情况、内蒙减产计划</w:t>
            </w:r>
          </w:p>
          <w:p>
            <w:pPr>
              <w:rPr>
                <w:rFonts w:ascii="宋体" w:hAnsi="宋体" w:cs="宋体"/>
                <w:sz w:val="18"/>
                <w:szCs w:val="18"/>
              </w:rPr>
            </w:pPr>
          </w:p>
          <w:p>
            <w:pPr>
              <w:rPr>
                <w:rFonts w:hint="eastAsia" w:ascii="宋体" w:hAnsi="宋体" w:cs="宋体"/>
                <w:sz w:val="18"/>
                <w:szCs w:val="18"/>
              </w:rPr>
            </w:pPr>
            <w:r>
              <w:rPr>
                <w:rFonts w:hint="eastAsia" w:ascii="宋体" w:hAnsi="宋体" w:cs="宋体"/>
                <w:b/>
                <w:sz w:val="18"/>
                <w:szCs w:val="18"/>
              </w:rPr>
              <w:t>锡：</w:t>
            </w:r>
            <w:r>
              <w:rPr>
                <w:rFonts w:hint="eastAsia" w:ascii="宋体" w:hAnsi="宋体" w:cs="宋体"/>
                <w:sz w:val="18"/>
                <w:szCs w:val="18"/>
              </w:rPr>
              <w:t>马来西亚锡炼厂将中断VS刚果锡矿来华 沪锡低开震荡</w:t>
            </w:r>
          </w:p>
          <w:p>
            <w:pPr>
              <w:rPr>
                <w:rFonts w:hint="eastAsia" w:ascii="宋体" w:hAnsi="宋体" w:cs="宋体"/>
                <w:sz w:val="18"/>
                <w:szCs w:val="18"/>
              </w:rPr>
            </w:pPr>
            <w:r>
              <w:rPr>
                <w:rFonts w:hint="eastAsia" w:ascii="宋体" w:hAnsi="宋体" w:cs="宋体"/>
                <w:sz w:val="18"/>
                <w:szCs w:val="18"/>
              </w:rPr>
              <w:t>一方面，上游非洲锡矿表示过去一年产量超预期、康尼什金属公司将重新开发南克罗夫蒂锡矿出现进展将使得未来供应紧张形势有所缓解，另一方面，当前下游的需求仍显乏力，供需两淡将使使锡价承压。</w:t>
            </w:r>
          </w:p>
          <w:p>
            <w:pPr>
              <w:rPr>
                <w:rFonts w:hint="eastAsia" w:ascii="宋体" w:hAnsi="宋体" w:cs="宋体"/>
                <w:sz w:val="18"/>
                <w:szCs w:val="18"/>
              </w:rPr>
            </w:pPr>
            <w:r>
              <w:rPr>
                <w:rFonts w:hint="eastAsia" w:ascii="宋体" w:hAnsi="宋体" w:cs="宋体"/>
                <w:sz w:val="18"/>
                <w:szCs w:val="18"/>
              </w:rPr>
              <w:t>关注锡矿与精锡的供应减少与下游需求相对稳定的矛盾、去库速度、云锡新生产线的投产进度</w:t>
            </w:r>
          </w:p>
          <w:p>
            <w:pPr>
              <w:rPr>
                <w:rFonts w:ascii="宋体" w:hAnsi="宋体" w:cs="宋体"/>
                <w:sz w:val="18"/>
                <w:szCs w:val="18"/>
              </w:rPr>
            </w:pPr>
          </w:p>
          <w:p>
            <w:pPr>
              <w:rPr>
                <w:rFonts w:hint="eastAsia" w:ascii="宋体" w:hAnsi="宋体" w:cs="宋体"/>
                <w:sz w:val="18"/>
                <w:szCs w:val="18"/>
              </w:rPr>
            </w:pPr>
            <w:r>
              <w:rPr>
                <w:rFonts w:hint="eastAsia" w:ascii="宋体" w:hAnsi="宋体" w:cs="宋体"/>
                <w:b/>
                <w:sz w:val="18"/>
                <w:szCs w:val="18"/>
              </w:rPr>
              <w:t>镍：</w:t>
            </w:r>
            <w:r>
              <w:rPr>
                <w:rFonts w:hint="eastAsia" w:ascii="宋体" w:hAnsi="宋体" w:cs="宋体"/>
                <w:sz w:val="18"/>
                <w:szCs w:val="18"/>
              </w:rPr>
              <w:t>硫酸镍需求旺盛 国内精镍社库持续回落  沪镍震荡上行</w:t>
            </w:r>
          </w:p>
          <w:p>
            <w:pPr>
              <w:rPr>
                <w:rFonts w:hint="eastAsia" w:ascii="宋体" w:hAnsi="宋体" w:cs="宋体"/>
                <w:sz w:val="18"/>
                <w:szCs w:val="18"/>
              </w:rPr>
            </w:pPr>
            <w:r>
              <w:rPr>
                <w:rFonts w:hint="eastAsia" w:ascii="宋体" w:hAnsi="宋体" w:cs="宋体"/>
                <w:sz w:val="18"/>
                <w:szCs w:val="18"/>
              </w:rPr>
              <w:t>一方面，未来国内镍铁供应仍将受限，而如若菲律宾镍矿供应出现天气问题或是印尼镍铁回流不及预期，则国内镍铁供应将持续偏紧，再次促成供需错配行情；另一方面，当前下游需求将保持稳定，而这将使得镍价维持宽幅震荡整理。</w:t>
            </w:r>
          </w:p>
          <w:p>
            <w:pPr>
              <w:rPr>
                <w:rFonts w:ascii="宋体" w:hAnsi="宋体" w:cs="宋体"/>
                <w:sz w:val="18"/>
                <w:szCs w:val="18"/>
              </w:rPr>
            </w:pPr>
            <w:r>
              <w:rPr>
                <w:rFonts w:hint="eastAsia" w:ascii="宋体" w:hAnsi="宋体" w:cs="宋体"/>
                <w:sz w:val="18"/>
                <w:szCs w:val="18"/>
              </w:rPr>
              <w:t>关注菲律宾雨季即将结束后的供应情况、印尼镍生铁的供应增长前景、不锈钢与新能源汽车电池正极材料需求。</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468"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铝</w:t>
            </w:r>
          </w:p>
        </w:tc>
        <w:tc>
          <w:tcPr>
            <w:tcW w:w="1123" w:type="dxa"/>
            <w:vAlign w:val="center"/>
          </w:tcPr>
          <w:p>
            <w:pPr>
              <w:jc w:val="center"/>
              <w:rPr>
                <w:rFonts w:ascii="宋体" w:hAnsi="宋体"/>
                <w:kern w:val="0"/>
                <w:szCs w:val="21"/>
              </w:rPr>
            </w:pPr>
            <w:r>
              <w:rPr>
                <w:rFonts w:hint="eastAsia" w:ascii="宋体" w:hAnsi="宋体"/>
                <w:kern w:val="0"/>
                <w:szCs w:val="21"/>
              </w:rPr>
              <w:t>短线与中线多单谨慎持有</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798"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锌</w:t>
            </w:r>
          </w:p>
        </w:tc>
        <w:tc>
          <w:tcPr>
            <w:tcW w:w="1123" w:type="dxa"/>
            <w:vAlign w:val="center"/>
          </w:tcPr>
          <w:p>
            <w:pPr>
              <w:jc w:val="center"/>
              <w:rPr>
                <w:rFonts w:ascii="宋体" w:hAnsi="宋体"/>
                <w:kern w:val="0"/>
                <w:szCs w:val="21"/>
              </w:rPr>
            </w:pPr>
            <w:r>
              <w:rPr>
                <w:rFonts w:hint="eastAsia" w:ascii="宋体" w:hAnsi="宋体"/>
                <w:kern w:val="0"/>
                <w:szCs w:val="21"/>
              </w:rPr>
              <w:t>短线与中线多单谨慎持有</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815"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铅</w:t>
            </w:r>
          </w:p>
        </w:tc>
        <w:tc>
          <w:tcPr>
            <w:tcW w:w="1123" w:type="dxa"/>
            <w:vAlign w:val="center"/>
          </w:tcPr>
          <w:p>
            <w:pPr>
              <w:jc w:val="center"/>
              <w:rPr>
                <w:rFonts w:ascii="宋体" w:hAnsi="宋体"/>
                <w:kern w:val="0"/>
                <w:szCs w:val="21"/>
              </w:rPr>
            </w:pPr>
            <w:r>
              <w:rPr>
                <w:rFonts w:hint="eastAsia" w:ascii="宋体" w:hAnsi="宋体"/>
                <w:kern w:val="0"/>
                <w:szCs w:val="21"/>
              </w:rPr>
              <w:t>短线与中线空单谨慎持有</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593"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锡</w:t>
            </w:r>
          </w:p>
        </w:tc>
        <w:tc>
          <w:tcPr>
            <w:tcW w:w="1123" w:type="dxa"/>
            <w:vAlign w:val="center"/>
          </w:tcPr>
          <w:p>
            <w:pPr>
              <w:jc w:val="center"/>
              <w:rPr>
                <w:rFonts w:ascii="宋体" w:hAnsi="宋体"/>
                <w:kern w:val="0"/>
                <w:szCs w:val="21"/>
              </w:rPr>
            </w:pPr>
            <w:r>
              <w:rPr>
                <w:rFonts w:hint="eastAsia" w:ascii="宋体" w:hAnsi="宋体"/>
                <w:kern w:val="0"/>
                <w:szCs w:val="21"/>
              </w:rPr>
              <w:t>短线与中线观望</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146"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镍</w:t>
            </w:r>
          </w:p>
        </w:tc>
        <w:tc>
          <w:tcPr>
            <w:tcW w:w="1123" w:type="dxa"/>
            <w:vAlign w:val="center"/>
          </w:tcPr>
          <w:p>
            <w:pPr>
              <w:jc w:val="center"/>
              <w:rPr>
                <w:rFonts w:ascii="宋体" w:hAnsi="宋体"/>
                <w:kern w:val="0"/>
                <w:szCs w:val="21"/>
              </w:rPr>
            </w:pPr>
            <w:r>
              <w:rPr>
                <w:rFonts w:hint="eastAsia" w:ascii="宋体" w:hAnsi="宋体"/>
                <w:kern w:val="0"/>
                <w:szCs w:val="21"/>
              </w:rPr>
              <w:t>短线与中线观望</w:t>
            </w:r>
          </w:p>
        </w:tc>
        <w:tc>
          <w:tcPr>
            <w:tcW w:w="7380" w:type="dxa"/>
            <w:vMerge w:val="continue"/>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617" w:hRule="atLeast"/>
          <w:jc w:val="center"/>
        </w:trPr>
        <w:tc>
          <w:tcPr>
            <w:tcW w:w="630" w:type="dxa"/>
            <w:vMerge w:val="restart"/>
          </w:tcPr>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jc w:val="center"/>
              <w:rPr>
                <w:rFonts w:ascii="宋体" w:hAnsi="宋体"/>
                <w:b/>
                <w:sz w:val="24"/>
                <w:szCs w:val="21"/>
              </w:rPr>
            </w:pPr>
            <w:r>
              <w:rPr>
                <w:rFonts w:hint="eastAsia" w:ascii="宋体" w:hAnsi="宋体"/>
                <w:b/>
                <w:sz w:val="24"/>
                <w:szCs w:val="21"/>
              </w:rPr>
              <w:t>农</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品</w:t>
            </w:r>
          </w:p>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豆粕</w:t>
            </w:r>
          </w:p>
        </w:tc>
        <w:tc>
          <w:tcPr>
            <w:tcW w:w="1123" w:type="dxa"/>
            <w:vAlign w:val="center"/>
          </w:tcPr>
          <w:p>
            <w:pPr>
              <w:jc w:val="center"/>
              <w:rPr>
                <w:rFonts w:ascii="宋体" w:hAnsi="宋体"/>
                <w:szCs w:val="21"/>
              </w:rPr>
            </w:pPr>
            <w:r>
              <w:rPr>
                <w:rFonts w:hint="eastAsia"/>
              </w:rPr>
              <w:t>高位震荡</w:t>
            </w:r>
          </w:p>
        </w:tc>
        <w:tc>
          <w:tcPr>
            <w:tcW w:w="7380" w:type="dxa"/>
            <w:vMerge w:val="restart"/>
          </w:tcPr>
          <w:p>
            <w:pPr>
              <w:widowControl/>
              <w:jc w:val="left"/>
              <w:rPr>
                <w:rFonts w:ascii="宋体" w:hAnsi="宋体" w:cs="宋体"/>
                <w:b/>
                <w:sz w:val="18"/>
                <w:szCs w:val="18"/>
              </w:rPr>
            </w:pPr>
            <w:r>
              <w:rPr>
                <w:rFonts w:ascii="宋体" w:hAnsi="宋体" w:cs="宋体"/>
                <w:b/>
                <w:sz w:val="18"/>
                <w:szCs w:val="18"/>
              </w:rPr>
              <w:t>粕类：</w:t>
            </w:r>
            <w:r>
              <w:rPr>
                <w:rFonts w:ascii="宋体" w:hAnsi="宋体" w:cs="宋体"/>
                <w:sz w:val="18"/>
                <w:szCs w:val="18"/>
              </w:rPr>
              <w:t>美国总体干旱程度减轻，但在美国大豆库存偏低背景下，美国大豆播种期天气等方面的因素对大豆价格的涨跌较为敏感。多家机构下调阿根廷大豆产量，不过近期随着巴西大豆收割接近尾声，国内到港大豆陆续增加。国内大豆进口成本高企，压榨利润有所修复，油厂的开机率逐渐提高，国内非洲猪瘟影响犹在，小麦替代玉米也影响豆粕需求，不过蛋鸡存栏处于缓增状态，水产饲料中使用豆粕的性价比较高，水产养殖需求旺季，水产料需求有望放大，预计豆粕震荡偏强。</w:t>
            </w:r>
            <w:r>
              <w:rPr>
                <w:rFonts w:ascii="宋体" w:hAnsi="宋体" w:cs="宋体"/>
                <w:sz w:val="18"/>
                <w:szCs w:val="18"/>
              </w:rPr>
              <w:br w:type="textWrapping"/>
            </w:r>
          </w:p>
          <w:p>
            <w:pPr>
              <w:widowControl/>
              <w:jc w:val="left"/>
              <w:rPr>
                <w:rFonts w:ascii="宋体" w:hAnsi="宋体" w:cs="宋体"/>
                <w:b/>
                <w:bCs/>
                <w:kern w:val="0"/>
                <w:sz w:val="18"/>
                <w:szCs w:val="18"/>
              </w:rPr>
            </w:pPr>
            <w:r>
              <w:rPr>
                <w:rFonts w:ascii="宋体" w:hAnsi="宋体" w:cs="宋体"/>
                <w:b/>
                <w:sz w:val="18"/>
                <w:szCs w:val="18"/>
              </w:rPr>
              <w:t>油脂：</w:t>
            </w:r>
            <w:r>
              <w:rPr>
                <w:rFonts w:ascii="宋体" w:hAnsi="宋体" w:cs="宋体"/>
                <w:sz w:val="18"/>
                <w:szCs w:val="18"/>
              </w:rPr>
              <w:t>马棕油进入季节性增产季，但是疫情可能继续影响种植园劳工从而影响产量，马棕出口保持强劲态势，供应紧俏，不过印度疫情可能一定程度影响市场需求预期。美国大豆和豆油库存实际偏低，美豆和美豆油偏强。国内进口大豆成本增加，压榨利润有所修复，油厂的开机率逐渐提高，国内豆油棕榈油库存仍处于多年同期低位，油脂基本面偏多依旧，再加上美元贬值，全球通胀担忧，给油脂带来潜在支撑，油脂或震荡偏强，短期谨防回调。</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456" w:hRule="atLeast"/>
          <w:jc w:val="center"/>
        </w:trPr>
        <w:tc>
          <w:tcPr>
            <w:tcW w:w="630" w:type="dxa"/>
            <w:vMerge w:val="continue"/>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菜粕</w:t>
            </w:r>
          </w:p>
        </w:tc>
        <w:tc>
          <w:tcPr>
            <w:tcW w:w="1123" w:type="dxa"/>
            <w:vAlign w:val="center"/>
          </w:tcPr>
          <w:p>
            <w:pPr>
              <w:jc w:val="center"/>
              <w:rPr>
                <w:rFonts w:ascii="宋体" w:hAnsi="宋体"/>
                <w:color w:val="000000"/>
                <w:szCs w:val="21"/>
              </w:rPr>
            </w:pPr>
            <w:r>
              <w:rPr>
                <w:rFonts w:hint="eastAsia"/>
              </w:rPr>
              <w:t>高位震荡</w:t>
            </w:r>
          </w:p>
        </w:tc>
        <w:tc>
          <w:tcPr>
            <w:tcW w:w="7380" w:type="dxa"/>
            <w:vMerge w:val="continue"/>
          </w:tcPr>
          <w:p>
            <w:pPr>
              <w:widowControl/>
              <w:wordWrap w:val="0"/>
              <w:snapToGrid w:val="0"/>
              <w:jc w:val="left"/>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791"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t>豆一</w:t>
            </w:r>
          </w:p>
        </w:tc>
        <w:tc>
          <w:tcPr>
            <w:tcW w:w="1123" w:type="dxa"/>
            <w:vAlign w:val="center"/>
          </w:tcPr>
          <w:p>
            <w:pPr>
              <w:jc w:val="center"/>
              <w:rPr>
                <w:rFonts w:ascii="宋体" w:hAnsi="宋体"/>
                <w:color w:val="000000"/>
                <w:szCs w:val="21"/>
              </w:rPr>
            </w:pPr>
            <w:r>
              <w:t>震荡</w:t>
            </w:r>
            <w:r>
              <w:rPr>
                <w:rFonts w:hint="eastAsia"/>
              </w:rPr>
              <w:t>偏多</w:t>
            </w:r>
          </w:p>
        </w:tc>
        <w:tc>
          <w:tcPr>
            <w:tcW w:w="7380" w:type="dxa"/>
            <w:vMerge w:val="continue"/>
          </w:tcPr>
          <w:p>
            <w:pPr>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663"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t>豆二</w:t>
            </w:r>
          </w:p>
        </w:tc>
        <w:tc>
          <w:tcPr>
            <w:tcW w:w="1123" w:type="dxa"/>
            <w:vAlign w:val="center"/>
          </w:tcPr>
          <w:p>
            <w:pPr>
              <w:jc w:val="center"/>
              <w:rPr>
                <w:rFonts w:ascii="宋体" w:hAnsi="宋体"/>
                <w:color w:val="000000"/>
                <w:szCs w:val="21"/>
              </w:rPr>
            </w:pPr>
            <w:r>
              <w:rPr>
                <w:rFonts w:hint="eastAsia"/>
              </w:rPr>
              <w:t>高位震荡</w:t>
            </w:r>
          </w:p>
        </w:tc>
        <w:tc>
          <w:tcPr>
            <w:tcW w:w="7380" w:type="dxa"/>
            <w:vMerge w:val="continue"/>
          </w:tcPr>
          <w:p>
            <w:pPr>
              <w:widowControl/>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637"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豆油</w:t>
            </w:r>
          </w:p>
        </w:tc>
        <w:tc>
          <w:tcPr>
            <w:tcW w:w="1123" w:type="dxa"/>
            <w:vAlign w:val="center"/>
          </w:tcPr>
          <w:p>
            <w:pPr>
              <w:jc w:val="center"/>
              <w:rPr>
                <w:rFonts w:ascii="宋体" w:hAnsi="宋体"/>
                <w:color w:val="000000"/>
                <w:szCs w:val="21"/>
              </w:rPr>
            </w:pPr>
            <w:r>
              <w:rPr>
                <w:rFonts w:hint="eastAsia" w:ascii="宋体" w:hAnsi="宋体"/>
                <w:color w:val="000000"/>
                <w:szCs w:val="21"/>
              </w:rPr>
              <w:t>震荡偏多</w:t>
            </w:r>
          </w:p>
        </w:tc>
        <w:tc>
          <w:tcPr>
            <w:tcW w:w="7380" w:type="dxa"/>
            <w:vMerge w:val="continue"/>
          </w:tcPr>
          <w:p>
            <w:pPr>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657"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棕榈油</w:t>
            </w:r>
          </w:p>
        </w:tc>
        <w:tc>
          <w:tcPr>
            <w:tcW w:w="1123" w:type="dxa"/>
            <w:vAlign w:val="center"/>
          </w:tcPr>
          <w:p>
            <w:pPr>
              <w:jc w:val="center"/>
              <w:rPr>
                <w:rFonts w:ascii="宋体" w:hAnsi="宋体"/>
                <w:color w:val="000000"/>
                <w:szCs w:val="21"/>
              </w:rPr>
            </w:pPr>
            <w:r>
              <w:rPr>
                <w:rFonts w:hint="eastAsia" w:ascii="宋体" w:hAnsi="宋体"/>
                <w:color w:val="000000"/>
                <w:szCs w:val="21"/>
              </w:rPr>
              <w:t>震荡偏多</w:t>
            </w:r>
          </w:p>
        </w:tc>
        <w:tc>
          <w:tcPr>
            <w:tcW w:w="7380" w:type="dxa"/>
            <w:vMerge w:val="continue"/>
          </w:tcPr>
          <w:p>
            <w:pPr>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90" w:hRule="atLeast"/>
          <w:jc w:val="center"/>
        </w:trPr>
        <w:tc>
          <w:tcPr>
            <w:tcW w:w="630" w:type="dxa"/>
            <w:vMerge w:val="continue"/>
            <w:vAlign w:val="center"/>
          </w:tcPr>
          <w:p>
            <w:pPr>
              <w:jc w:val="cente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菜油</w:t>
            </w:r>
          </w:p>
        </w:tc>
        <w:tc>
          <w:tcPr>
            <w:tcW w:w="1123" w:type="dxa"/>
            <w:vAlign w:val="center"/>
          </w:tcPr>
          <w:p>
            <w:pPr>
              <w:jc w:val="center"/>
            </w:pPr>
            <w:r>
              <w:rPr>
                <w:rFonts w:hint="eastAsia" w:ascii="宋体" w:hAnsi="宋体"/>
                <w:color w:val="000000"/>
                <w:szCs w:val="21"/>
              </w:rPr>
              <w:t>震荡偏多</w:t>
            </w:r>
          </w:p>
        </w:tc>
        <w:tc>
          <w:tcPr>
            <w:tcW w:w="7380" w:type="dxa"/>
            <w:vMerge w:val="continue"/>
            <w:vAlign w:val="center"/>
          </w:tcPr>
          <w:p>
            <w:pPr>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562" w:hRule="atLeast"/>
          <w:jc w:val="center"/>
        </w:trPr>
        <w:tc>
          <w:tcPr>
            <w:tcW w:w="630" w:type="dxa"/>
            <w:vMerge w:val="restart"/>
            <w:vAlign w:val="center"/>
          </w:tcPr>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能源化工品</w:t>
            </w:r>
          </w:p>
        </w:tc>
        <w:tc>
          <w:tcPr>
            <w:tcW w:w="924" w:type="dxa"/>
            <w:vAlign w:val="center"/>
          </w:tcPr>
          <w:p>
            <w:pPr>
              <w:jc w:val="center"/>
              <w:rPr>
                <w:rFonts w:ascii="宋体" w:hAnsi="宋体"/>
                <w:szCs w:val="21"/>
              </w:rPr>
            </w:pPr>
            <w:r>
              <w:rPr>
                <w:rFonts w:hint="eastAsia" w:ascii="宋体" w:hAnsi="宋体"/>
                <w:szCs w:val="21"/>
              </w:rPr>
              <w:t>PTA</w:t>
            </w:r>
          </w:p>
        </w:tc>
        <w:tc>
          <w:tcPr>
            <w:tcW w:w="1123" w:type="dxa"/>
            <w:vAlign w:val="center"/>
          </w:tcPr>
          <w:p>
            <w:pPr>
              <w:jc w:val="center"/>
              <w:rPr>
                <w:rFonts w:ascii="宋体" w:hAnsi="宋体"/>
                <w:kern w:val="0"/>
                <w:szCs w:val="21"/>
              </w:rPr>
            </w:pPr>
            <w:r>
              <w:t>震荡</w:t>
            </w:r>
          </w:p>
        </w:tc>
        <w:tc>
          <w:tcPr>
            <w:tcW w:w="7380" w:type="dxa"/>
            <w:vMerge w:val="restart"/>
          </w:tcPr>
          <w:p>
            <w:pPr>
              <w:widowControl/>
              <w:jc w:val="left"/>
              <w:rPr>
                <w:rFonts w:hint="eastAsia" w:ascii="宋体" w:hAnsi="宋体" w:cs="宋体"/>
                <w:sz w:val="18"/>
                <w:szCs w:val="18"/>
              </w:rPr>
            </w:pPr>
            <w:r>
              <w:rPr>
                <w:rFonts w:hint="eastAsia" w:ascii="宋体" w:hAnsi="宋体" w:cs="宋体"/>
                <w:b/>
                <w:bCs/>
                <w:sz w:val="18"/>
                <w:szCs w:val="18"/>
              </w:rPr>
              <w:t>原油：</w:t>
            </w:r>
            <w:r>
              <w:rPr>
                <w:rFonts w:hint="eastAsia" w:ascii="宋体" w:hAnsi="宋体" w:cs="宋体"/>
                <w:sz w:val="18"/>
                <w:szCs w:val="18"/>
              </w:rPr>
              <w:t>欧美需求或将大幅增加 中国4月原油进口回落  沪油低开高走</w:t>
            </w:r>
          </w:p>
          <w:p>
            <w:pPr>
              <w:widowControl/>
              <w:jc w:val="left"/>
              <w:rPr>
                <w:rFonts w:hint="eastAsia" w:ascii="宋体" w:hAnsi="宋体" w:cs="宋体"/>
                <w:sz w:val="18"/>
                <w:szCs w:val="18"/>
              </w:rPr>
            </w:pPr>
            <w:r>
              <w:rPr>
                <w:rFonts w:hint="eastAsia" w:ascii="宋体" w:hAnsi="宋体" w:cs="宋体"/>
                <w:sz w:val="18"/>
                <w:szCs w:val="18"/>
              </w:rPr>
              <w:t>如果在二季度剩余的时间内，欧洲疫情持续回落、亚太地区疫情（印度与日本）得到有效控制、中东地区形势持续紧张，则国际原油价格将回升至65-70美元的价格区间，沪原油价格将在回调后站稳400-420元的价格区间。</w:t>
            </w:r>
          </w:p>
          <w:p>
            <w:pPr>
              <w:widowControl/>
              <w:jc w:val="left"/>
              <w:rPr>
                <w:rFonts w:ascii="宋体" w:hAnsi="宋体" w:cs="宋体"/>
                <w:sz w:val="18"/>
                <w:szCs w:val="18"/>
              </w:rPr>
            </w:pPr>
            <w:r>
              <w:rPr>
                <w:rFonts w:hint="eastAsia" w:ascii="宋体" w:hAnsi="宋体" w:cs="宋体"/>
                <w:sz w:val="18"/>
                <w:szCs w:val="18"/>
              </w:rPr>
              <w:t>关注情反弹下的全球经济前景、全球原油供需前景、中国经济的复苏前景、中东地缘形势、OPEC+会议、美国炼油厂产能恢复情况</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401" w:hRule="atLeast"/>
          <w:jc w:val="center"/>
        </w:trPr>
        <w:tc>
          <w:tcPr>
            <w:tcW w:w="630" w:type="dxa"/>
            <w:vMerge w:val="continue"/>
            <w:vAlign w:val="center"/>
          </w:tcPr>
          <w:p>
            <w:pP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EG</w:t>
            </w:r>
          </w:p>
        </w:tc>
        <w:tc>
          <w:tcPr>
            <w:tcW w:w="1123" w:type="dxa"/>
            <w:vAlign w:val="center"/>
          </w:tcPr>
          <w:p>
            <w:pPr>
              <w:jc w:val="center"/>
              <w:rPr>
                <w:rFonts w:ascii="宋体" w:hAnsi="宋体"/>
                <w:szCs w:val="21"/>
              </w:rPr>
            </w:pPr>
            <w:r>
              <w:t>震荡</w:t>
            </w:r>
          </w:p>
        </w:tc>
        <w:tc>
          <w:tcPr>
            <w:tcW w:w="7380" w:type="dxa"/>
            <w:vMerge w:val="continue"/>
            <w:vAlign w:val="center"/>
          </w:tcPr>
          <w:p>
            <w:pPr>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557" w:hRule="atLeast"/>
          <w:jc w:val="center"/>
        </w:trPr>
        <w:tc>
          <w:tcPr>
            <w:tcW w:w="630" w:type="dxa"/>
            <w:vMerge w:val="continue"/>
            <w:vAlign w:val="center"/>
          </w:tcPr>
          <w:p>
            <w:pP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原油</w:t>
            </w:r>
          </w:p>
        </w:tc>
        <w:tc>
          <w:tcPr>
            <w:tcW w:w="1123" w:type="dxa"/>
            <w:vAlign w:val="center"/>
          </w:tcPr>
          <w:p>
            <w:pPr>
              <w:jc w:val="center"/>
            </w:pPr>
            <w:r>
              <w:rPr>
                <w:rFonts w:hint="eastAsia"/>
              </w:rPr>
              <w:t>短线空单持有</w:t>
            </w:r>
          </w:p>
        </w:tc>
        <w:tc>
          <w:tcPr>
            <w:tcW w:w="7380" w:type="dxa"/>
            <w:vMerge w:val="continue"/>
            <w:vAlign w:val="center"/>
          </w:tcPr>
          <w:p>
            <w:pPr>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628" w:hRule="atLeast"/>
          <w:jc w:val="center"/>
        </w:trPr>
        <w:tc>
          <w:tcPr>
            <w:tcW w:w="630" w:type="dxa"/>
            <w:vMerge w:val="continue"/>
            <w:vAlign w:val="center"/>
          </w:tcPr>
          <w:p>
            <w:pPr>
              <w:rPr>
                <w:rFonts w:ascii="宋体" w:hAnsi="宋体"/>
                <w:b/>
                <w:sz w:val="24"/>
                <w:szCs w:val="21"/>
              </w:rPr>
            </w:pPr>
          </w:p>
        </w:tc>
        <w:tc>
          <w:tcPr>
            <w:tcW w:w="924" w:type="dxa"/>
            <w:vAlign w:val="center"/>
          </w:tcPr>
          <w:p>
            <w:pPr>
              <w:jc w:val="center"/>
              <w:rPr>
                <w:rFonts w:ascii="宋体" w:hAnsi="宋体"/>
                <w:szCs w:val="21"/>
              </w:rPr>
            </w:pPr>
            <w:r>
              <w:rPr>
                <w:rFonts w:hint="eastAsia" w:ascii="宋体" w:hAnsi="宋体"/>
                <w:szCs w:val="21"/>
              </w:rPr>
              <w:t>沥青</w:t>
            </w:r>
          </w:p>
        </w:tc>
        <w:tc>
          <w:tcPr>
            <w:tcW w:w="1123" w:type="dxa"/>
            <w:vAlign w:val="center"/>
          </w:tcPr>
          <w:p>
            <w:pPr>
              <w:jc w:val="center"/>
            </w:pPr>
            <w:r>
              <w:rPr>
                <w:rFonts w:hint="eastAsia"/>
              </w:rPr>
              <w:t>观望</w:t>
            </w:r>
          </w:p>
        </w:tc>
        <w:tc>
          <w:tcPr>
            <w:tcW w:w="7380" w:type="dxa"/>
            <w:vMerge w:val="continue"/>
            <w:vAlign w:val="center"/>
          </w:tcPr>
          <w:p>
            <w:pPr>
              <w:rPr>
                <w:rFonts w:ascii="宋体" w:hAnsi="宋体" w:cs="宋体"/>
                <w:kern w:val="0"/>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3018" w:hRule="atLeast"/>
          <w:jc w:val="center"/>
        </w:trPr>
        <w:tc>
          <w:tcPr>
            <w:tcW w:w="630" w:type="dxa"/>
            <w:vMerge w:val="restart"/>
            <w:vAlign w:val="center"/>
          </w:tcPr>
          <w:p>
            <w:pPr>
              <w:rPr>
                <w:rFonts w:ascii="宋体" w:hAnsi="宋体"/>
                <w:b/>
                <w:sz w:val="24"/>
                <w:szCs w:val="21"/>
              </w:rPr>
            </w:pPr>
            <w:r>
              <w:rPr>
                <w:rFonts w:hint="eastAsia" w:ascii="宋体" w:hAnsi="宋体"/>
                <w:b/>
                <w:sz w:val="24"/>
                <w:szCs w:val="21"/>
              </w:rPr>
              <w:t>软商品</w:t>
            </w:r>
          </w:p>
        </w:tc>
        <w:tc>
          <w:tcPr>
            <w:tcW w:w="924" w:type="dxa"/>
            <w:vAlign w:val="center"/>
          </w:tcPr>
          <w:p>
            <w:pPr>
              <w:jc w:val="center"/>
              <w:rPr>
                <w:rFonts w:ascii="宋体" w:hAnsi="宋体"/>
                <w:szCs w:val="21"/>
              </w:rPr>
            </w:pPr>
            <w:r>
              <w:rPr>
                <w:rFonts w:hint="eastAsia" w:ascii="宋体" w:hAnsi="宋体"/>
                <w:szCs w:val="21"/>
              </w:rPr>
              <w:t>棉花</w:t>
            </w:r>
          </w:p>
        </w:tc>
        <w:tc>
          <w:tcPr>
            <w:tcW w:w="1123" w:type="dxa"/>
            <w:vAlign w:val="center"/>
          </w:tcPr>
          <w:p>
            <w:pPr>
              <w:jc w:val="center"/>
            </w:pPr>
            <w:r>
              <w:rPr>
                <w:rFonts w:hint="eastAsia"/>
              </w:rPr>
              <w:t>震荡走高</w:t>
            </w:r>
          </w:p>
        </w:tc>
        <w:tc>
          <w:tcPr>
            <w:tcW w:w="7380" w:type="dxa"/>
            <w:vMerge w:val="restart"/>
            <w:vAlign w:val="center"/>
          </w:tcPr>
          <w:p>
            <w:pPr>
              <w:rPr>
                <w:rFonts w:ascii="宋体" w:hAnsi="宋体" w:cs="宋体"/>
                <w:bCs/>
                <w:sz w:val="18"/>
                <w:szCs w:val="18"/>
              </w:rPr>
            </w:pPr>
            <w:r>
              <w:rPr>
                <w:rFonts w:hint="eastAsia" w:ascii="宋体" w:hAnsi="宋体" w:cs="宋体"/>
                <w:b/>
                <w:sz w:val="18"/>
                <w:szCs w:val="18"/>
              </w:rPr>
              <w:t>棉花：</w:t>
            </w:r>
            <w:r>
              <w:rPr>
                <w:rFonts w:hint="eastAsia" w:ascii="宋体" w:hAnsi="宋体" w:cs="宋体"/>
                <w:bCs/>
                <w:sz w:val="18"/>
                <w:szCs w:val="18"/>
              </w:rPr>
              <w:t>郑棉走强，有望突破前期形成的盘整区间，上涨空间则视下游订单的表现而定。</w:t>
            </w:r>
          </w:p>
          <w:p>
            <w:pPr>
              <w:rPr>
                <w:rFonts w:ascii="宋体" w:hAnsi="宋体" w:cs="宋体"/>
                <w:bCs/>
                <w:sz w:val="18"/>
                <w:szCs w:val="18"/>
              </w:rPr>
            </w:pPr>
            <w:r>
              <w:rPr>
                <w:rFonts w:hint="eastAsia" w:ascii="宋体" w:hAnsi="宋体" w:cs="宋体"/>
                <w:bCs/>
                <w:sz w:val="18"/>
                <w:szCs w:val="18"/>
              </w:rPr>
              <w:t>美国德州短暂降雨并未有效缓解旱情，基金继续增持期权多头部位；国内发改委公布的70万吨滑准税配额远小于预期值。</w:t>
            </w:r>
          </w:p>
          <w:p>
            <w:pPr>
              <w:rPr>
                <w:rFonts w:ascii="宋体" w:hAnsi="宋体" w:cs="宋体"/>
                <w:bCs/>
                <w:sz w:val="18"/>
                <w:szCs w:val="18"/>
              </w:rPr>
            </w:pPr>
            <w:r>
              <w:rPr>
                <w:rFonts w:hint="eastAsia" w:ascii="宋体" w:hAnsi="宋体" w:cs="宋体"/>
                <w:bCs/>
                <w:sz w:val="18"/>
                <w:szCs w:val="18"/>
              </w:rPr>
              <w:t>在全球棉花消费逐步恢复供应预期减少的情况下，棉价倾向保持上行趋势，美国德州天气和印度疫情可能影响市场走势。</w:t>
            </w:r>
          </w:p>
          <w:p>
            <w:pPr>
              <w:rPr>
                <w:rFonts w:ascii="宋体" w:hAnsi="宋体" w:cs="宋体"/>
                <w:sz w:val="18"/>
                <w:szCs w:val="18"/>
              </w:rPr>
            </w:pPr>
            <w:r>
              <w:rPr>
                <w:rFonts w:hint="eastAsia" w:ascii="宋体" w:hAnsi="宋体" w:cs="宋体"/>
                <w:b/>
                <w:bCs/>
                <w:sz w:val="18"/>
                <w:szCs w:val="18"/>
              </w:rPr>
              <w:t>橡胶：</w:t>
            </w:r>
            <w:r>
              <w:rPr>
                <w:rFonts w:hint="eastAsia" w:ascii="宋体" w:hAnsi="宋体" w:cs="宋体"/>
                <w:sz w:val="18"/>
                <w:szCs w:val="18"/>
              </w:rPr>
              <w:t>胶价延续了震荡攀升走势。</w:t>
            </w:r>
          </w:p>
          <w:p>
            <w:pPr>
              <w:rPr>
                <w:rFonts w:ascii="宋体" w:hAnsi="宋体" w:cs="宋体"/>
                <w:sz w:val="18"/>
                <w:szCs w:val="18"/>
              </w:rPr>
            </w:pPr>
            <w:r>
              <w:rPr>
                <w:rFonts w:hint="eastAsia" w:ascii="宋体" w:hAnsi="宋体" w:cs="宋体"/>
                <w:sz w:val="18"/>
                <w:szCs w:val="18"/>
              </w:rPr>
              <w:t>1-3月，中国橡胶轮胎累计出口量179万吨，同比大增31.3%。但我们也注意到，国内汽车和轮胎生产环比都有所下降，轮胎厂出现自主控产行为，部分厂家受出货和库存双重压力，还实施了降价促销的举措，市场担忧存在进一步走弱的可能。</w:t>
            </w:r>
          </w:p>
          <w:p>
            <w:pPr>
              <w:rPr>
                <w:rFonts w:ascii="宋体" w:hAnsi="宋体" w:cs="宋体"/>
                <w:sz w:val="18"/>
                <w:szCs w:val="18"/>
              </w:rPr>
            </w:pPr>
            <w:r>
              <w:rPr>
                <w:rFonts w:hint="eastAsia" w:ascii="宋体" w:hAnsi="宋体" w:cs="宋体"/>
                <w:sz w:val="18"/>
                <w:szCs w:val="18"/>
              </w:rPr>
              <w:t>白粉病、降雨、防疫手套对胶水的需求，使得目前新胶难以上量供应，提供了偏多的氛围，但未来供应逐步增加也是必然趋势。</w:t>
            </w:r>
          </w:p>
          <w:p>
            <w:pPr>
              <w:rPr>
                <w:rFonts w:ascii="宋体" w:hAnsi="宋体" w:cs="宋体"/>
                <w:sz w:val="18"/>
                <w:szCs w:val="18"/>
              </w:rPr>
            </w:pPr>
            <w:r>
              <w:rPr>
                <w:rFonts w:hint="eastAsia" w:ascii="宋体" w:hAnsi="宋体" w:cs="宋体"/>
                <w:sz w:val="18"/>
                <w:szCs w:val="18"/>
              </w:rPr>
              <w:t>供应和需求端都存在矛盾的一面，胶价走势因此显得温和，预计未来天气还是推动胶价走高的重要因素。</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90" w:hRule="atLeast"/>
          <w:jc w:val="center"/>
        </w:trPr>
        <w:tc>
          <w:tcPr>
            <w:tcW w:w="630" w:type="dxa"/>
            <w:vMerge w:val="continue"/>
            <w:vAlign w:val="center"/>
          </w:tcPr>
          <w:p/>
        </w:tc>
        <w:tc>
          <w:tcPr>
            <w:tcW w:w="924" w:type="dxa"/>
            <w:vAlign w:val="center"/>
          </w:tcPr>
          <w:p>
            <w:pPr>
              <w:jc w:val="center"/>
            </w:pPr>
            <w:r>
              <w:t>橡胶</w:t>
            </w:r>
          </w:p>
        </w:tc>
        <w:tc>
          <w:tcPr>
            <w:tcW w:w="1123" w:type="dxa"/>
            <w:vAlign w:val="center"/>
          </w:tcPr>
          <w:p>
            <w:pPr>
              <w:jc w:val="center"/>
            </w:pPr>
            <w:r>
              <w:rPr>
                <w:rFonts w:hint="eastAsia"/>
              </w:rPr>
              <w:t>震荡偏强</w:t>
            </w:r>
          </w:p>
        </w:tc>
        <w:tc>
          <w:tcPr>
            <w:tcW w:w="7380" w:type="dxa"/>
            <w:vMerge w:val="continue"/>
            <w:vAlign w:val="center"/>
          </w:tcPr>
          <w:p>
            <w:pPr>
              <w:rPr>
                <w:rFonts w:ascii="宋体" w:hAnsi="宋体" w:cs="宋体"/>
                <w:sz w:val="18"/>
                <w:szCs w:val="18"/>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CellMar>
            <w:top w:w="0" w:type="dxa"/>
            <w:left w:w="108" w:type="dxa"/>
            <w:bottom w:w="0" w:type="dxa"/>
            <w:right w:w="108" w:type="dxa"/>
          </w:tblCellMar>
        </w:tblPrEx>
        <w:trPr>
          <w:trHeight w:val="420" w:hRule="atLeast"/>
          <w:jc w:val="center"/>
        </w:trPr>
        <w:tc>
          <w:tcPr>
            <w:tcW w:w="630" w:type="dxa"/>
            <w:vAlign w:val="center"/>
          </w:tcPr>
          <w:p>
            <w:r>
              <w:rPr>
                <w:rFonts w:hint="eastAsia" w:ascii="宋体" w:hAnsi="宋体"/>
                <w:b/>
                <w:sz w:val="24"/>
                <w:szCs w:val="21"/>
              </w:rPr>
              <w:t>金融</w:t>
            </w:r>
          </w:p>
        </w:tc>
        <w:tc>
          <w:tcPr>
            <w:tcW w:w="924" w:type="dxa"/>
            <w:vAlign w:val="center"/>
          </w:tcPr>
          <w:p>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5" w:leftChars="50"/>
              <w:jc w:val="left"/>
              <w:rPr>
                <w:rFonts w:hint="eastAsia" w:ascii="inherit" w:hAnsi="inherit" w:cs="宋体"/>
                <w:color w:val="000000"/>
                <w:kern w:val="0"/>
                <w:szCs w:val="21"/>
              </w:rPr>
            </w:pPr>
            <w:r>
              <w:rPr>
                <w:rFonts w:ascii="inherit" w:hAnsi="inherit" w:cs="宋体"/>
                <w:color w:val="000000"/>
                <w:kern w:val="0"/>
                <w:szCs w:val="21"/>
              </w:rPr>
              <w:t>沪深300</w:t>
            </w:r>
          </w:p>
          <w:p>
            <w:pPr>
              <w:jc w:val="center"/>
            </w:pPr>
          </w:p>
        </w:tc>
        <w:tc>
          <w:tcPr>
            <w:tcW w:w="1123" w:type="dxa"/>
            <w:vAlign w:val="center"/>
          </w:tcPr>
          <w:p>
            <w:pPr>
              <w:jc w:val="center"/>
            </w:pPr>
            <w:r>
              <w:rPr>
                <w:rFonts w:hint="eastAsia"/>
              </w:rPr>
              <w:t>宽幅震荡</w:t>
            </w:r>
          </w:p>
        </w:tc>
        <w:tc>
          <w:tcPr>
            <w:tcW w:w="7380" w:type="dxa"/>
            <w:vAlign w:val="center"/>
          </w:tcPr>
          <w:p>
            <w:pPr>
              <w:spacing w:line="276" w:lineRule="auto"/>
              <w:rPr>
                <w:rFonts w:ascii="宋体" w:hAnsi="宋体" w:cs="宋体"/>
                <w:sz w:val="18"/>
                <w:szCs w:val="18"/>
              </w:rPr>
            </w:pPr>
            <w:r>
              <w:rPr>
                <w:rFonts w:hint="eastAsia" w:ascii="宋体" w:hAnsi="宋体" w:cs="宋体"/>
                <w:sz w:val="18"/>
                <w:szCs w:val="18"/>
              </w:rPr>
              <w:t>5 月第一周， 沪深港通北向共计流入 5.65 亿元，南向资金流入-5.99 亿元，北向资金小幅流入， 资金流展望一般。本周外围欧美权益市场纷纷反弹，美国标普股指周度小幅收涨。国内主要股指实现波动率窄幅波动， 中国 ETF 和新兴市场 ETF 波动率等权益类波动率周度反弹， 欧元与黄金 ETF 波动率反弹， 提示需加强风控管理，沪深 300 股指期权合约成交结构显示市场认为沪深 300股指仍然处于震荡走势。认沽认购比近期呈现回落， 认为沪深 300 反弹动能不足。平值期权隐含波动率宽幅震荡，隐含波动率期限结构为 backwardation， 整体隐含波动率水平偏低。综合考虑建议充分利用当前隐含波动率低位的入场机会， 增持股指看涨期权和牛市价差。</w:t>
            </w:r>
          </w:p>
        </w:tc>
      </w:tr>
    </w:tbl>
    <w:p>
      <w:pPr>
        <w:widowControl/>
        <w:spacing w:line="300" w:lineRule="auto"/>
        <w:jc w:val="left"/>
        <w:rPr>
          <w:sz w:val="24"/>
        </w:rPr>
      </w:pPr>
    </w:p>
    <w:bookmarkEnd w:id="0"/>
    <w:bookmarkEnd w:id="1"/>
    <w:p>
      <w:pPr>
        <w:widowControl/>
        <w:numPr>
          <w:ilvl w:val="0"/>
          <w:numId w:val="1"/>
        </w:numPr>
        <w:spacing w:line="300" w:lineRule="auto"/>
        <w:jc w:val="left"/>
      </w:pPr>
      <w:r>
        <w:rPr>
          <w:rFonts w:hint="eastAsia"/>
        </w:rPr>
        <w:t>重点品种产业链资讯热点</w:t>
      </w:r>
      <w:bookmarkEnd w:id="2"/>
    </w:p>
    <w:tbl>
      <w:tblPr>
        <w:tblStyle w:val="88"/>
        <w:tblpPr w:leftFromText="180" w:rightFromText="180" w:vertAnchor="text" w:tblpX="-70" w:tblpY="1"/>
        <w:tblOverlap w:val="never"/>
        <w:tblW w:w="10100" w:type="dxa"/>
        <w:tblInd w:w="0" w:type="dxa"/>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
      <w:tblGrid>
        <w:gridCol w:w="10100"/>
      </w:tblGrid>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90" w:hRule="atLeast"/>
        </w:trPr>
        <w:tc>
          <w:tcPr>
            <w:tcW w:w="10100" w:type="dxa"/>
          </w:tcPr>
          <w:p>
            <w:pPr>
              <w:widowControl/>
              <w:jc w:val="center"/>
            </w:pPr>
            <w:bookmarkStart w:id="3" w:name="_Hlk505344099"/>
            <w:r>
              <w:rPr>
                <w:rFonts w:hint="eastAsia" w:ascii="宋体" w:hAnsi="宋体"/>
                <w:szCs w:val="21"/>
              </w:rPr>
              <w:t>宏观</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689" w:hRule="atLeast"/>
        </w:trPr>
        <w:tc>
          <w:tcPr>
            <w:tcW w:w="10100" w:type="dxa"/>
            <w:tcBorders>
              <w:bottom w:val="single" w:color="FF0000" w:sz="8" w:space="0"/>
            </w:tcBorders>
          </w:tcPr>
          <w:p>
            <w:pPr>
              <w:widowControl/>
              <w:shd w:val="clear" w:color="auto" w:fill="FEFFFF"/>
              <w:rPr>
                <w:rFonts w:hint="eastAsia" w:ascii="宋体" w:hAnsi="宋体" w:cs="宋体"/>
                <w:sz w:val="18"/>
                <w:szCs w:val="18"/>
              </w:rPr>
            </w:pPr>
            <w:r>
              <w:rPr>
                <w:rFonts w:hint="eastAsia" w:ascii="宋体" w:hAnsi="宋体" w:cs="宋体"/>
                <w:sz w:val="18"/>
                <w:szCs w:val="18"/>
              </w:rPr>
              <w:t>1、上海市推动国资国企从中心城区向“五个新城”聚集。上海市国资委表示，到2025年，上海将推动市属国企在“五个新城”落地100家总部型机构，使得国资国企成为“五个新城”建设重要支撑力量。</w:t>
            </w:r>
          </w:p>
          <w:p>
            <w:pPr>
              <w:widowControl/>
              <w:shd w:val="clear" w:color="auto" w:fill="FEFFFF"/>
              <w:rPr>
                <w:rFonts w:hint="eastAsia" w:ascii="宋体" w:hAnsi="宋体" w:cs="宋体"/>
                <w:sz w:val="18"/>
                <w:szCs w:val="18"/>
              </w:rPr>
            </w:pPr>
            <w:r>
              <w:rPr>
                <w:rFonts w:hint="eastAsia" w:ascii="宋体" w:hAnsi="宋体" w:cs="宋体"/>
                <w:sz w:val="18"/>
                <w:szCs w:val="18"/>
              </w:rPr>
              <w:t>2、中国（海南）改革发展研究院院长迟福林预计，到2025年我国居民人均消费支出水平有望接近3万元；“十四五”将成为全球最大的商品消费市场。2025年我国服务贸易规模将达1万亿美元以上，到2035年将成为全球最大规模的服务贸易国。</w:t>
            </w:r>
          </w:p>
          <w:p>
            <w:pPr>
              <w:widowControl/>
              <w:shd w:val="clear" w:color="auto" w:fill="FEFFFF"/>
              <w:rPr>
                <w:rFonts w:hint="eastAsia" w:ascii="宋体" w:hAnsi="宋体" w:cs="宋体"/>
                <w:sz w:val="18"/>
                <w:szCs w:val="18"/>
              </w:rPr>
            </w:pPr>
            <w:r>
              <w:rPr>
                <w:rFonts w:hint="eastAsia" w:ascii="宋体" w:hAnsi="宋体" w:cs="宋体"/>
                <w:sz w:val="18"/>
                <w:szCs w:val="18"/>
              </w:rPr>
              <w:t>3、第一财经日报指出，五一假期归来后，大宗商品又迎来一波猛涨。在这轮全球涨价潮中，企业的生存现状也各不相同。上游原材料相关行业的整体盈利能力得到明显改善，中游制造业中机械设备、建筑行业等受商品价格的影响较小，其毛利率水平也相对平稳。而与终端需求更为贴近的下游消费品行业的盈利能力则岀现下滑。</w:t>
            </w:r>
          </w:p>
          <w:p>
            <w:pPr>
              <w:widowControl/>
              <w:shd w:val="clear" w:color="auto" w:fill="FEFFFF"/>
              <w:rPr>
                <w:rFonts w:hint="eastAsia" w:ascii="宋体" w:hAnsi="宋体" w:cs="宋体"/>
                <w:sz w:val="18"/>
                <w:szCs w:val="18"/>
              </w:rPr>
            </w:pPr>
            <w:r>
              <w:rPr>
                <w:rFonts w:hint="eastAsia" w:ascii="宋体" w:hAnsi="宋体" w:cs="宋体"/>
                <w:sz w:val="18"/>
                <w:szCs w:val="18"/>
              </w:rPr>
              <w:t>4、中国证券监督管理委员会编著的《中国资本市场三十年》日前正式出版亮相。证监会主席易会满在该书序言中指出，要坚定不移深化资本市场改革开放，着力提高直接融资比重，全面提升市场治理能力和水平，强化市场功能发挥，促进投融资协同发展。</w:t>
            </w:r>
          </w:p>
          <w:p>
            <w:pPr>
              <w:widowControl/>
              <w:shd w:val="clear" w:color="auto" w:fill="FEFFFF"/>
              <w:rPr>
                <w:rFonts w:hint="eastAsia" w:ascii="宋体" w:hAnsi="宋体" w:cs="宋体"/>
                <w:sz w:val="18"/>
                <w:szCs w:val="18"/>
              </w:rPr>
            </w:pPr>
            <w:r>
              <w:rPr>
                <w:rFonts w:hint="eastAsia" w:ascii="宋体" w:hAnsi="宋体" w:cs="宋体"/>
                <w:sz w:val="18"/>
                <w:szCs w:val="18"/>
              </w:rPr>
              <w:t>5、香港万得通讯社报道，周五欧美股市集体收涨，道指涨0.66%、标普500指数涨0.74%，均刷新历史新高；纳指涨0.88%。耐克涨超3%，波音涨超2%，领涨道指。能源股、抗疫概念股表现强势。欧股集体收涨，德国DAX指数涨1.34%。本周来看，欧美股市多数上涨，道指涨2.67%，标普500指数涨1.23%，纳指跌1.51%。欧股集体上涨， 英国富时100指数周涨2.29%。</w:t>
            </w:r>
          </w:p>
          <w:p>
            <w:pPr>
              <w:widowControl/>
              <w:shd w:val="clear" w:color="auto" w:fill="FEFFFF"/>
              <w:rPr>
                <w:rFonts w:hint="eastAsia" w:ascii="宋体" w:hAnsi="宋体" w:cs="宋体"/>
                <w:sz w:val="18"/>
                <w:szCs w:val="18"/>
              </w:rPr>
            </w:pPr>
            <w:r>
              <w:rPr>
                <w:rFonts w:hint="eastAsia" w:ascii="宋体" w:hAnsi="宋体" w:cs="宋体"/>
                <w:sz w:val="18"/>
                <w:szCs w:val="18"/>
              </w:rPr>
              <w:t>6、热门中概股涨跌不一，朴新教育涨6.69%，亿邦通信涨4.23%，精锐教育涨4.09%，蘑菇街涨4%，房多多涨3.76%，陆金所控股跌5.82%，名创优品跌4.6%，燃石医学跌4.13%，博实乐跌3.63%，爱点击跌3.57%。新能源汽车股集体上涨，特斯拉涨1.33%，蔚来汽车涨0.76%，小鹏汽车涨1.25%，理想汽车涨1.5%。</w:t>
            </w:r>
          </w:p>
          <w:p>
            <w:pPr>
              <w:widowControl/>
              <w:shd w:val="clear" w:color="auto" w:fill="FEFFFF"/>
            </w:pPr>
            <w:r>
              <w:rPr>
                <w:rFonts w:hint="eastAsia" w:ascii="宋体" w:hAnsi="宋体" w:cs="宋体"/>
                <w:sz w:val="18"/>
                <w:szCs w:val="18"/>
              </w:rPr>
              <w:t>7、美国劳动统计局公布数据显示，美国4月非农就业人口变动季调后仅仅增加26.6万，远不及预期的增加100万，相比前值增加91.6万大幅回落。同时，失业率从6.0%意外升至6.1%，而市场原本预期将升至5.8%。还有更多的坏消息：3月份的最初估计总数为916000，下调为770000，尽管2月份看到的总数从468000上调至536000。考虑到这一点，美国的就业数据差得让人震惊。</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90" w:hRule="atLeast"/>
        </w:trPr>
        <w:tc>
          <w:tcPr>
            <w:tcW w:w="10100" w:type="dxa"/>
          </w:tcPr>
          <w:p>
            <w:pPr>
              <w:widowControl/>
              <w:shd w:val="clear" w:color="auto" w:fill="FEFFFF"/>
              <w:jc w:val="center"/>
              <w:rPr>
                <w:rFonts w:ascii="宋体" w:hAnsi="宋体"/>
                <w:szCs w:val="21"/>
              </w:rPr>
            </w:pPr>
            <w:r>
              <w:rPr>
                <w:rFonts w:hint="eastAsia" w:ascii="宋体" w:hAnsi="宋体"/>
                <w:szCs w:val="21"/>
              </w:rPr>
              <w:t>黑色产业链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691" w:hRule="atLeast"/>
        </w:trPr>
        <w:tc>
          <w:tcPr>
            <w:tcW w:w="10100" w:type="dxa"/>
          </w:tcPr>
          <w:p>
            <w:pPr>
              <w:widowControl/>
              <w:shd w:val="clear" w:color="auto" w:fill="FEFFFF"/>
              <w:rPr>
                <w:rFonts w:hint="eastAsia" w:ascii="宋体" w:hAnsi="宋体" w:cs="宋体"/>
                <w:sz w:val="18"/>
                <w:szCs w:val="18"/>
              </w:rPr>
            </w:pPr>
            <w:r>
              <w:rPr>
                <w:rFonts w:ascii="宋体" w:hAnsi="宋体" w:cs="宋体"/>
                <w:sz w:val="18"/>
                <w:szCs w:val="18"/>
              </w:rPr>
              <w:t>1</w:t>
            </w:r>
            <w:r>
              <w:rPr>
                <w:rFonts w:hint="eastAsia" w:ascii="宋体" w:hAnsi="宋体" w:cs="宋体"/>
                <w:sz w:val="18"/>
                <w:szCs w:val="18"/>
              </w:rPr>
              <w:t>、9日，唐山钢坯出厂价格上调150元/吨，报5500元/吨，创历史新高。自五一至今唐山钢坯出厂价格累计涨幅510元/吨。随着品种材与钢坯价格的正常化，以及钢坯南北价差的逐渐修复，5月外地坯料资源入唐减量预期明显，钢坯基本面对价格强支撑，不过一旦品种材包括下游调坯品种材高价成交的压力凸显，钢坯价格仍将面临回调风险。详情&gt;&gt;</w:t>
            </w:r>
          </w:p>
          <w:p>
            <w:pPr>
              <w:widowControl/>
              <w:shd w:val="clear" w:color="auto" w:fill="FEFFFF"/>
              <w:rPr>
                <w:rFonts w:hint="eastAsia" w:ascii="宋体" w:hAnsi="宋体" w:cs="宋体"/>
                <w:sz w:val="18"/>
                <w:szCs w:val="18"/>
              </w:rPr>
            </w:pPr>
            <w:r>
              <w:rPr>
                <w:rFonts w:hint="eastAsia" w:ascii="宋体" w:hAnsi="宋体" w:cs="宋体"/>
                <w:sz w:val="18"/>
                <w:szCs w:val="18"/>
              </w:rPr>
              <w:t>2、5月带钢市场价格突破历史高点，以日度百元以上涨幅拉涨，屡创新高。截止5月9日午前，唐山145mm系列热轧带钢市场主流现货价格5900元/吨含税出库，9天累计涨幅640元/吨，唐山355mm带钢市场主流价格6200元/吨。</w:t>
            </w:r>
          </w:p>
          <w:p>
            <w:pPr>
              <w:widowControl/>
              <w:shd w:val="clear" w:color="auto" w:fill="FEFFFF"/>
              <w:rPr>
                <w:rFonts w:ascii="宋体" w:hAnsi="宋体" w:cs="宋体"/>
                <w:sz w:val="18"/>
                <w:szCs w:val="18"/>
              </w:rPr>
            </w:pPr>
            <w:r>
              <w:rPr>
                <w:rFonts w:ascii="宋体" w:hAnsi="宋体" w:cs="宋体"/>
                <w:sz w:val="18"/>
                <w:szCs w:val="18"/>
              </w:rPr>
              <w:t>3</w:t>
            </w:r>
            <w:r>
              <w:rPr>
                <w:rFonts w:hint="eastAsia" w:ascii="宋体" w:hAnsi="宋体" w:cs="宋体"/>
                <w:sz w:val="18"/>
                <w:szCs w:val="18"/>
              </w:rPr>
              <w:t>、本周全国230家独立焦企剔除淘汰产能的利用率为84.67%，环比上周增0.66%。焦炭供应相对偏紧，钢厂方面焦炭补库仍有难度，厂内库存继续下降。焦炭第六轮提涨即将开启。</w:t>
            </w:r>
          </w:p>
          <w:p>
            <w:pPr>
              <w:widowControl/>
              <w:shd w:val="clear" w:color="auto" w:fill="FEFFFF"/>
              <w:rPr>
                <w:rFonts w:hint="eastAsia" w:ascii="宋体" w:hAnsi="宋体"/>
                <w:szCs w:val="21"/>
              </w:rPr>
            </w:pPr>
            <w:r>
              <w:rPr>
                <w:rFonts w:hint="eastAsia" w:ascii="宋体" w:hAnsi="宋体" w:cs="宋体"/>
                <w:sz w:val="18"/>
                <w:szCs w:val="18"/>
              </w:rPr>
              <w:t>4、中国钢铁工业协会副会长骆铁军认为，铁矿石价格居高不下的主要原因，在于供给端高度集中，主导权掌握在卖方手中。此外，市场预期和炒作成分很大。他呼吁，要在市场机制失灵的情况下，发挥政府引导作用，有效遏制铁矿石价格不断上涨势头。中钢协报告分析称，从需求端看，由于前期钢材价格上涨速度较快、幅度较大，造船、家电等下游用钢行业难以承受钢价持续高位，后期钢价难以持续大幅上涨。</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90" w:hRule="atLeast"/>
        </w:trPr>
        <w:tc>
          <w:tcPr>
            <w:tcW w:w="10100" w:type="dxa"/>
          </w:tcPr>
          <w:p>
            <w:pPr>
              <w:spacing w:line="340" w:lineRule="exact"/>
              <w:ind w:left="-45"/>
              <w:jc w:val="center"/>
            </w:pPr>
            <w:r>
              <w:rPr>
                <w:rFonts w:hint="eastAsia"/>
              </w:rPr>
              <w:t>有色产业链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90" w:hRule="atLeast"/>
        </w:trPr>
        <w:tc>
          <w:tcPr>
            <w:tcW w:w="10100" w:type="dxa"/>
          </w:tcPr>
          <w:p>
            <w:pPr>
              <w:spacing w:line="340" w:lineRule="exact"/>
              <w:jc w:val="left"/>
              <w:rPr>
                <w:rFonts w:hint="eastAsia" w:ascii="宋体" w:hAnsi="宋体" w:cs="宋体"/>
                <w:color w:val="333333"/>
                <w:spacing w:val="10"/>
                <w:sz w:val="18"/>
                <w:szCs w:val="18"/>
              </w:rPr>
            </w:pPr>
            <w:r>
              <w:rPr>
                <w:rFonts w:hint="eastAsia" w:ascii="宋体" w:hAnsi="宋体" w:cs="宋体"/>
                <w:color w:val="333333"/>
                <w:spacing w:val="10"/>
                <w:sz w:val="18"/>
                <w:szCs w:val="18"/>
              </w:rPr>
              <w:t>1、作为全球最大锡生产商之一，印尼PT Timah公司周五公布，一季度精炼锡产量同比下降63.1%。该公司一季度精炼锡产量为5,220吨，上年同期则为14,133吨。</w:t>
            </w:r>
          </w:p>
          <w:p>
            <w:pPr>
              <w:spacing w:line="340" w:lineRule="exact"/>
              <w:jc w:val="left"/>
              <w:rPr>
                <w:rFonts w:hint="eastAsia" w:ascii="宋体" w:hAnsi="宋体" w:cs="宋体"/>
                <w:color w:val="333333"/>
                <w:spacing w:val="10"/>
                <w:sz w:val="18"/>
                <w:szCs w:val="18"/>
              </w:rPr>
            </w:pPr>
            <w:r>
              <w:rPr>
                <w:rFonts w:hint="eastAsia" w:ascii="宋体" w:hAnsi="宋体" w:cs="宋体"/>
                <w:color w:val="333333"/>
                <w:spacing w:val="10"/>
                <w:sz w:val="18"/>
                <w:szCs w:val="18"/>
              </w:rPr>
              <w:t>2、印尼贸易部周五公布的数据显示，印尼今年4月出口精炼锡7,007.29吨，较上年同期增加66%，较上个月则增加16%。</w:t>
            </w:r>
          </w:p>
          <w:p>
            <w:pPr>
              <w:spacing w:line="340" w:lineRule="exact"/>
              <w:jc w:val="left"/>
              <w:rPr>
                <w:rFonts w:hint="eastAsia" w:ascii="宋体" w:hAnsi="宋体" w:cs="宋体"/>
                <w:color w:val="333333"/>
                <w:spacing w:val="10"/>
                <w:sz w:val="18"/>
                <w:szCs w:val="18"/>
              </w:rPr>
            </w:pPr>
            <w:r>
              <w:rPr>
                <w:rFonts w:hint="eastAsia" w:ascii="宋体" w:hAnsi="宋体" w:cs="宋体"/>
                <w:color w:val="333333"/>
                <w:spacing w:val="10"/>
                <w:sz w:val="18"/>
                <w:szCs w:val="18"/>
              </w:rPr>
              <w:t>3、据SMM调研了解，本周五（5月7日）上海保税区纯镍库存环比上周五（4月30日）持平，仍为0.93万吨。由于国内经五一长假休市，且伦镍在此期间大涨，令镍板进口亏损扩大，因此本周保税区外贸交投清淡，保税库纯镍连续第三周持平。</w:t>
            </w:r>
          </w:p>
          <w:p>
            <w:pPr>
              <w:spacing w:line="340" w:lineRule="exact"/>
              <w:jc w:val="left"/>
              <w:rPr>
                <w:rFonts w:hint="eastAsia" w:ascii="宋体" w:hAnsi="宋体" w:cs="宋体"/>
                <w:color w:val="333333"/>
                <w:spacing w:val="10"/>
                <w:sz w:val="18"/>
                <w:szCs w:val="18"/>
              </w:rPr>
            </w:pPr>
            <w:r>
              <w:rPr>
                <w:rFonts w:hint="eastAsia" w:ascii="宋体" w:hAnsi="宋体" w:cs="宋体"/>
                <w:color w:val="333333"/>
                <w:spacing w:val="10"/>
                <w:sz w:val="18"/>
                <w:szCs w:val="18"/>
              </w:rPr>
              <w:t>4、近日，格林美在接受投资者机构调研时表示，2020 年公司三元前驱体已形成 13万吨/年产能，四氧化三钴已形成2.5万吨/年产能。该公司掌控印尼镍资源项目控股权，构建持久强劲的镍资源原动力。</w:t>
            </w:r>
          </w:p>
          <w:p>
            <w:pPr>
              <w:spacing w:line="340" w:lineRule="exact"/>
              <w:jc w:val="left"/>
              <w:rPr>
                <w:rFonts w:hint="eastAsia" w:ascii="宋体" w:hAnsi="宋体" w:cs="宋体"/>
                <w:color w:val="333333"/>
                <w:spacing w:val="10"/>
                <w:sz w:val="18"/>
                <w:szCs w:val="18"/>
              </w:rPr>
            </w:pPr>
            <w:r>
              <w:rPr>
                <w:rFonts w:hint="eastAsia" w:ascii="宋体" w:hAnsi="宋体" w:cs="宋体"/>
                <w:color w:val="333333"/>
                <w:spacing w:val="10"/>
                <w:sz w:val="18"/>
                <w:szCs w:val="18"/>
              </w:rPr>
              <w:t>5、海关总署：2021年4月中国未锻轧铜及铜材进口量为484899.7吨；1-4月累计进口1920550吨，同比增加9.9%；4月中国铜矿砂及其精矿进口量为192.1万吨；1-4月累计进口788.3万吨，同比增加4.4%。</w:t>
            </w:r>
          </w:p>
          <w:p>
            <w:pPr>
              <w:spacing w:line="340" w:lineRule="exact"/>
              <w:jc w:val="left"/>
              <w:rPr>
                <w:rFonts w:hint="eastAsia" w:ascii="宋体" w:hAnsi="宋体" w:cs="宋体"/>
                <w:color w:val="333333"/>
                <w:spacing w:val="10"/>
                <w:sz w:val="18"/>
                <w:szCs w:val="18"/>
              </w:rPr>
            </w:pPr>
            <w:r>
              <w:rPr>
                <w:rFonts w:hint="eastAsia" w:ascii="宋体" w:hAnsi="宋体" w:cs="宋体"/>
                <w:color w:val="333333"/>
                <w:spacing w:val="10"/>
                <w:sz w:val="18"/>
                <w:szCs w:val="18"/>
              </w:rPr>
              <w:t>6、海关总署：4月未锻轧铝及铝材出口43.73万吨，同比下降0.89%，环比下降1.4%；2021年1-4月累计出口172.27万吨，同比2020年1-4月累计162.80万吨同比增长5.8%。</w:t>
            </w:r>
          </w:p>
          <w:p>
            <w:pPr>
              <w:spacing w:line="340" w:lineRule="exact"/>
              <w:jc w:val="left"/>
              <w:rPr>
                <w:rFonts w:ascii="宋体" w:hAnsi="宋体" w:cs="宋体"/>
                <w:color w:val="333333"/>
                <w:spacing w:val="10"/>
                <w:sz w:val="18"/>
                <w:szCs w:val="18"/>
              </w:rPr>
            </w:pPr>
            <w:r>
              <w:rPr>
                <w:rFonts w:hint="eastAsia" w:ascii="宋体" w:hAnsi="宋体" w:cs="宋体"/>
                <w:color w:val="333333"/>
                <w:spacing w:val="10"/>
                <w:sz w:val="18"/>
                <w:szCs w:val="18"/>
              </w:rPr>
              <w:t>7、据产业在线最新数据显示，2021年一季度家用空调进入传统出口旺季，在去年低基数的情况下，实现同比大增26.4%；据SMM调研了解，目前空调整机厂订单火爆，头部企业已连续多月保持高开工率。</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480" w:hRule="atLeast"/>
        </w:trPr>
        <w:tc>
          <w:tcPr>
            <w:tcW w:w="10100" w:type="dxa"/>
          </w:tcPr>
          <w:p>
            <w:pPr>
              <w:spacing w:line="340" w:lineRule="exact"/>
              <w:ind w:left="-45"/>
              <w:jc w:val="center"/>
            </w:pPr>
            <w:r>
              <w:rPr>
                <w:rFonts w:hint="eastAsia"/>
              </w:rPr>
              <w:t>能源化工产业链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452" w:hRule="atLeast"/>
        </w:trPr>
        <w:tc>
          <w:tcPr>
            <w:tcW w:w="10100" w:type="dxa"/>
          </w:tcPr>
          <w:p>
            <w:pPr>
              <w:rPr>
                <w:rFonts w:hint="eastAsia" w:ascii="宋体" w:hAnsi="宋体" w:cs="宋体"/>
                <w:color w:val="333333"/>
                <w:spacing w:val="10"/>
                <w:sz w:val="18"/>
                <w:szCs w:val="18"/>
              </w:rPr>
            </w:pPr>
            <w:r>
              <w:rPr>
                <w:rFonts w:hint="eastAsia" w:ascii="宋体" w:hAnsi="宋体" w:cs="宋体"/>
                <w:color w:val="333333"/>
                <w:spacing w:val="10"/>
                <w:sz w:val="18"/>
                <w:szCs w:val="18"/>
              </w:rPr>
              <w:t>1、ESG公布5月5日当周新加坡中质馏分油和残渣燃料油库存陡增，残渣燃料油库存+2669千桶至27228千桶，增加11%，库存上升至近年高位。轻质馏分油库存小幅下降-486千桶至11899千桶，近半年低位。周度库存有所分化，受此影响，原油、燃料油小幅回调。</w:t>
            </w:r>
          </w:p>
          <w:p>
            <w:pPr>
              <w:rPr>
                <w:rFonts w:ascii="宋体" w:hAnsi="宋体" w:cs="宋体"/>
                <w:color w:val="333333"/>
                <w:spacing w:val="10"/>
                <w:sz w:val="18"/>
                <w:szCs w:val="18"/>
              </w:rPr>
            </w:pPr>
            <w:r>
              <w:rPr>
                <w:rFonts w:hint="eastAsia" w:ascii="宋体" w:hAnsi="宋体" w:cs="宋体"/>
                <w:color w:val="333333"/>
                <w:spacing w:val="10"/>
                <w:sz w:val="18"/>
                <w:szCs w:val="18"/>
              </w:rPr>
              <w:t>2、俄罗斯和伊拉克的原油生产分别超过其配额87.7万桶/日和70.7万桶/日。</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382" w:hRule="atLeast"/>
        </w:trPr>
        <w:tc>
          <w:tcPr>
            <w:tcW w:w="10100"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宋体" w:hAnsi="宋体" w:cs="宋体"/>
                <w:color w:val="333333"/>
                <w:spacing w:val="10"/>
                <w:sz w:val="18"/>
                <w:szCs w:val="18"/>
              </w:rPr>
            </w:pPr>
            <w:r>
              <w:rPr>
                <w:rFonts w:hint="eastAsia" w:ascii="宋体" w:hAnsi="宋体" w:cs="宋体"/>
                <w:color w:val="333333"/>
                <w:spacing w:val="10"/>
                <w:sz w:val="18"/>
                <w:szCs w:val="18"/>
              </w:rPr>
              <w:t>农产品产业链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406" w:hRule="atLeast"/>
        </w:trPr>
        <w:tc>
          <w:tcPr>
            <w:tcW w:w="10100" w:type="dxa"/>
          </w:tcPr>
          <w:p>
            <w:pPr>
              <w:widowControl/>
              <w:shd w:val="clear" w:color="auto" w:fill="FEFFFF"/>
              <w:rPr>
                <w:rFonts w:ascii="宋体" w:hAnsi="宋体" w:cs="宋体"/>
                <w:color w:val="333333"/>
                <w:spacing w:val="10"/>
                <w:sz w:val="18"/>
                <w:szCs w:val="18"/>
              </w:rPr>
            </w:pPr>
            <w:r>
              <w:rPr>
                <w:rFonts w:hint="eastAsia" w:ascii="宋体" w:hAnsi="宋体" w:cs="宋体"/>
                <w:color w:val="333333"/>
                <w:spacing w:val="10"/>
                <w:sz w:val="18"/>
                <w:szCs w:val="18"/>
              </w:rPr>
              <w:t>1. MPOA：4月马来西亚毛棕榈油产量环比增长7.23%。（来源：我的农产品网）</w:t>
            </w:r>
          </w:p>
          <w:p>
            <w:pPr>
              <w:widowControl/>
              <w:shd w:val="clear" w:color="auto" w:fill="FEFFFF"/>
              <w:rPr>
                <w:rFonts w:ascii="宋体" w:hAnsi="宋体" w:cs="宋体"/>
                <w:color w:val="333333"/>
                <w:spacing w:val="10"/>
                <w:sz w:val="18"/>
                <w:szCs w:val="18"/>
              </w:rPr>
            </w:pPr>
            <w:r>
              <w:rPr>
                <w:rFonts w:hint="eastAsia" w:ascii="宋体" w:hAnsi="宋体" w:cs="宋体"/>
                <w:color w:val="333333"/>
                <w:spacing w:val="10"/>
                <w:sz w:val="18"/>
                <w:szCs w:val="18"/>
              </w:rPr>
              <w:t>2、美国农业部周度出口销售报告显示，美国对中国（大陆）大豆出口销售总量同比增长1.64倍，前一周同比增加1.69倍。。（来源：我的农产品网）</w:t>
            </w:r>
          </w:p>
          <w:p>
            <w:pPr>
              <w:widowControl/>
              <w:shd w:val="clear" w:color="auto" w:fill="FEFFFF"/>
              <w:rPr>
                <w:rFonts w:ascii="宋体" w:hAnsi="宋体" w:cs="宋体"/>
                <w:color w:val="333333"/>
                <w:spacing w:val="10"/>
                <w:sz w:val="18"/>
                <w:szCs w:val="18"/>
              </w:rPr>
            </w:pPr>
            <w:r>
              <w:rPr>
                <w:rFonts w:hint="eastAsia" w:ascii="宋体" w:hAnsi="宋体" w:cs="宋体"/>
                <w:color w:val="333333"/>
                <w:spacing w:val="10"/>
                <w:sz w:val="18"/>
                <w:szCs w:val="18"/>
              </w:rPr>
              <w:t>3、截至2021年5月4日，投机基金在芝加哥期货交易所（CBOT）大豆期货以及期权部位持有净多单174,799手，比一周前减少5,215手，前一周净买入7,470手。。（来源：我的农产品网）</w:t>
            </w:r>
          </w:p>
          <w:p>
            <w:pPr>
              <w:widowControl/>
              <w:shd w:val="clear" w:color="auto" w:fill="FEFFFF"/>
              <w:rPr>
                <w:rFonts w:ascii="宋体" w:hAnsi="宋体" w:cs="宋体"/>
                <w:color w:val="333333"/>
                <w:spacing w:val="10"/>
                <w:sz w:val="18"/>
                <w:szCs w:val="18"/>
              </w:rPr>
            </w:pPr>
            <w:r>
              <w:rPr>
                <w:rFonts w:hint="eastAsia" w:ascii="宋体" w:hAnsi="宋体" w:cs="宋体"/>
                <w:color w:val="333333"/>
                <w:spacing w:val="10"/>
                <w:sz w:val="18"/>
                <w:szCs w:val="18"/>
              </w:rPr>
              <w:t>4、海关总署数据显示：中国1-4月份大豆进口同比增长16.8%至2863万吨。（来源：cofeed）</w:t>
            </w:r>
          </w:p>
          <w:p>
            <w:pPr>
              <w:widowControl/>
              <w:shd w:val="clear" w:color="auto" w:fill="FEFFFF"/>
              <w:rPr>
                <w:rFonts w:ascii="宋体" w:hAnsi="宋体" w:cs="宋体"/>
                <w:color w:val="333333"/>
                <w:spacing w:val="10"/>
                <w:sz w:val="18"/>
                <w:szCs w:val="18"/>
              </w:rPr>
            </w:pPr>
            <w:r>
              <w:rPr>
                <w:rFonts w:hint="eastAsia" w:ascii="宋体" w:hAnsi="宋体" w:cs="宋体"/>
                <w:color w:val="333333"/>
                <w:spacing w:val="10"/>
                <w:sz w:val="18"/>
                <w:szCs w:val="18"/>
              </w:rPr>
              <w:t>5、马托格罗索农业经济研究所（Imea）的数据显示，3月份，2021/22年度马托格罗索州大豆生产成本为每公顷3717.35雷亚尔，比早先预测高出2%。（来源：我的农产品网）</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400" w:hRule="atLeast"/>
        </w:trPr>
        <w:tc>
          <w:tcPr>
            <w:tcW w:w="10100"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宋体" w:hAnsi="宋体" w:cs="宋体"/>
                <w:color w:val="333333"/>
                <w:spacing w:val="10"/>
                <w:sz w:val="18"/>
                <w:szCs w:val="18"/>
              </w:rPr>
            </w:pPr>
            <w:r>
              <w:rPr>
                <w:rFonts w:hint="eastAsia" w:ascii="宋体" w:hAnsi="宋体" w:cs="宋体"/>
                <w:color w:val="333333"/>
                <w:spacing w:val="10"/>
                <w:sz w:val="18"/>
                <w:szCs w:val="18"/>
              </w:rPr>
              <w:t>软商品</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CellMar>
            <w:top w:w="0" w:type="dxa"/>
            <w:left w:w="108" w:type="dxa"/>
            <w:bottom w:w="0" w:type="dxa"/>
            <w:right w:w="108" w:type="dxa"/>
          </w:tblCellMar>
        </w:tblPrEx>
        <w:trPr>
          <w:trHeight w:val="90" w:hRule="atLeast"/>
        </w:trPr>
        <w:tc>
          <w:tcPr>
            <w:tcW w:w="10100" w:type="dxa"/>
          </w:tcPr>
          <w:p>
            <w:pPr>
              <w:rPr>
                <w:rFonts w:ascii="宋体" w:hAnsi="宋体" w:cs="宋体"/>
                <w:color w:val="333333"/>
                <w:spacing w:val="10"/>
                <w:sz w:val="18"/>
                <w:szCs w:val="18"/>
              </w:rPr>
            </w:pPr>
            <w:r>
              <w:rPr>
                <w:rFonts w:hint="eastAsia" w:ascii="宋体" w:hAnsi="宋体" w:cs="宋体"/>
                <w:color w:val="333333"/>
                <w:spacing w:val="10"/>
                <w:sz w:val="18"/>
                <w:szCs w:val="18"/>
              </w:rPr>
              <w:t>1、4月30日晚间，国家发改委网站公布发放滑准税配额的相关公告，2021年发放棉花进口滑准税配额数量为70万吨，全部为非国营贸易配额。（中国棉花网）</w:t>
            </w:r>
          </w:p>
          <w:p>
            <w:pPr>
              <w:rPr>
                <w:rFonts w:ascii="宋体" w:hAnsi="宋体" w:cs="宋体"/>
                <w:color w:val="333333"/>
                <w:spacing w:val="10"/>
                <w:sz w:val="18"/>
                <w:szCs w:val="18"/>
              </w:rPr>
            </w:pPr>
            <w:r>
              <w:rPr>
                <w:rFonts w:hint="eastAsia" w:ascii="宋体" w:hAnsi="宋体" w:cs="宋体"/>
                <w:color w:val="333333"/>
                <w:spacing w:val="10"/>
                <w:sz w:val="18"/>
                <w:szCs w:val="18"/>
              </w:rPr>
              <w:t>2、2020年度新疆自治区棉花目标价格补贴具体标准为：陆地棉籽棉按照1.18元/公斤，特种棉按照1.65元/公斤发放。（中国棉花网）</w:t>
            </w:r>
          </w:p>
          <w:p>
            <w:pPr>
              <w:rPr>
                <w:rFonts w:ascii="宋体" w:hAnsi="宋体" w:cs="宋体"/>
                <w:color w:val="333333"/>
                <w:spacing w:val="10"/>
                <w:sz w:val="18"/>
                <w:szCs w:val="18"/>
              </w:rPr>
            </w:pPr>
            <w:r>
              <w:rPr>
                <w:rFonts w:hint="eastAsia" w:ascii="宋体" w:hAnsi="宋体" w:cs="宋体"/>
                <w:color w:val="333333"/>
                <w:spacing w:val="10"/>
                <w:sz w:val="18"/>
                <w:szCs w:val="18"/>
              </w:rPr>
              <w:t>3、在前两个年度中国进口澳棉数量分别为38万吨和15.7万吨，随着近两年两国经贸活动降温，中国买家对澳大利亚棉花的兴趣逐渐下降。（纺织资讯）</w:t>
            </w:r>
          </w:p>
          <w:p>
            <w:pPr>
              <w:rPr>
                <w:rFonts w:ascii="宋体" w:hAnsi="宋体" w:cs="宋体"/>
                <w:color w:val="333333"/>
                <w:spacing w:val="10"/>
                <w:sz w:val="18"/>
                <w:szCs w:val="18"/>
              </w:rPr>
            </w:pPr>
            <w:r>
              <w:rPr>
                <w:rFonts w:hint="eastAsia" w:ascii="宋体" w:hAnsi="宋体" w:cs="宋体"/>
                <w:color w:val="333333"/>
                <w:spacing w:val="10"/>
                <w:sz w:val="18"/>
                <w:szCs w:val="18"/>
              </w:rPr>
              <w:t>4、从部分外商、大型贸易企业棉花资源报价及涉棉企业的调研、估算来看，截止5月中旬前保税+非保税棉花库存或已达到55万吨。（华瑞信息）</w:t>
            </w:r>
          </w:p>
          <w:p>
            <w:pPr>
              <w:rPr>
                <w:rFonts w:ascii="宋体" w:hAnsi="宋体" w:cs="宋体"/>
                <w:color w:val="333333"/>
                <w:spacing w:val="10"/>
                <w:sz w:val="18"/>
                <w:szCs w:val="18"/>
              </w:rPr>
            </w:pPr>
            <w:r>
              <w:rPr>
                <w:rFonts w:hint="eastAsia" w:ascii="宋体" w:hAnsi="宋体" w:cs="宋体"/>
                <w:color w:val="333333"/>
                <w:spacing w:val="10"/>
                <w:sz w:val="18"/>
                <w:szCs w:val="18"/>
              </w:rPr>
              <w:t>5、截止到2021年5月7日，新疆地区皮棉累计加工总量578.14万吨，其中，自治区皮棉加工量364.63万吨，兵团皮棉加工量213.51万吨。7日当日增量291吨。（农产品期货网）</w:t>
            </w:r>
          </w:p>
          <w:p>
            <w:pPr>
              <w:rPr>
                <w:rFonts w:ascii="宋体" w:hAnsi="宋体" w:cs="宋体"/>
                <w:color w:val="333333"/>
                <w:spacing w:val="10"/>
                <w:sz w:val="18"/>
                <w:szCs w:val="18"/>
              </w:rPr>
            </w:pPr>
            <w:r>
              <w:rPr>
                <w:rFonts w:hint="eastAsia" w:ascii="宋体" w:hAnsi="宋体" w:cs="宋体"/>
                <w:color w:val="333333"/>
                <w:spacing w:val="10"/>
                <w:sz w:val="18"/>
                <w:szCs w:val="18"/>
              </w:rPr>
              <w:t>6、2020/21年制糖期全国制糖生产已进入尾声，除云南少数糖厂生产外，其他省（区）糖厂均已停榨。销售食糖495.57万吨（上制糖期同期552.77万吨）。（农产品期货网）</w:t>
            </w:r>
          </w:p>
          <w:p>
            <w:pPr>
              <w:rPr>
                <w:rFonts w:ascii="宋体" w:hAnsi="宋体" w:cs="宋体"/>
                <w:color w:val="333333"/>
                <w:spacing w:val="10"/>
                <w:sz w:val="18"/>
                <w:szCs w:val="18"/>
              </w:rPr>
            </w:pPr>
            <w:r>
              <w:rPr>
                <w:rFonts w:hint="eastAsia" w:ascii="宋体" w:hAnsi="宋体" w:cs="宋体"/>
                <w:color w:val="333333"/>
                <w:spacing w:val="10"/>
                <w:sz w:val="18"/>
                <w:szCs w:val="18"/>
              </w:rPr>
              <w:t>7、2020/21年制糖期截至4月底，重点制糖企业（集团）成品白糖累计平均销售价格5252元/吨（上制糖期同期5678元/吨）。（云南糖网）</w:t>
            </w:r>
          </w:p>
          <w:p>
            <w:pPr>
              <w:rPr>
                <w:rFonts w:ascii="宋体" w:hAnsi="宋体" w:cs="宋体"/>
                <w:color w:val="333333"/>
                <w:spacing w:val="10"/>
                <w:sz w:val="18"/>
                <w:szCs w:val="18"/>
              </w:rPr>
            </w:pPr>
            <w:r>
              <w:rPr>
                <w:rFonts w:hint="eastAsia" w:ascii="宋体" w:hAnsi="宋体" w:cs="宋体"/>
                <w:color w:val="333333"/>
                <w:spacing w:val="10"/>
                <w:sz w:val="18"/>
                <w:szCs w:val="18"/>
              </w:rPr>
              <w:t>8、印度20/21榨季截至4月30日累计产糖2991.5万吨，同比增加15.9%，目前印度已经签订540-550万吨的食糖出口合同，超过了90%的20/21榨季出口配额量。（云南糖网）</w:t>
            </w:r>
          </w:p>
          <w:p>
            <w:pPr>
              <w:rPr>
                <w:rFonts w:ascii="宋体" w:hAnsi="宋体" w:cs="宋体"/>
                <w:color w:val="333333"/>
                <w:spacing w:val="10"/>
                <w:sz w:val="18"/>
                <w:szCs w:val="18"/>
              </w:rPr>
            </w:pPr>
            <w:r>
              <w:rPr>
                <w:rFonts w:hint="eastAsia" w:ascii="宋体" w:hAnsi="宋体" w:cs="宋体"/>
                <w:color w:val="333333"/>
                <w:spacing w:val="10"/>
                <w:sz w:val="18"/>
                <w:szCs w:val="18"/>
              </w:rPr>
              <w:t>9、4月食糖进口成本不断上涨，出现进口负利润。巴西配额内进口成本由上月4017元/吨上涨至4332元/吨，配额外进口成本由5133元/吨上涨至5544元/吨。泰国配额内成本由4053元/吨上涨至4442元/吨，配额外成本由5181元/吨上涨至5687元/吨。（糖业协会）</w:t>
            </w:r>
          </w:p>
          <w:p>
            <w:pPr>
              <w:rPr>
                <w:rFonts w:ascii="宋体" w:hAnsi="宋体" w:cs="宋体"/>
                <w:color w:val="333333"/>
                <w:spacing w:val="10"/>
                <w:sz w:val="18"/>
                <w:szCs w:val="18"/>
              </w:rPr>
            </w:pPr>
            <w:r>
              <w:rPr>
                <w:rFonts w:hint="eastAsia" w:ascii="宋体" w:hAnsi="宋体" w:cs="宋体"/>
                <w:color w:val="333333"/>
                <w:spacing w:val="10"/>
                <w:sz w:val="18"/>
                <w:szCs w:val="18"/>
              </w:rPr>
              <w:t>10、美国商品期货交易委员会（CFTC）周五公布的报告显示，截至4月27日当周，对冲基金及其他管理基金继续增持ICE原糖和棉花期货期权净多头仓位。（农产品期货网）</w:t>
            </w:r>
          </w:p>
          <w:p>
            <w:pPr>
              <w:rPr>
                <w:rFonts w:ascii="宋体" w:hAnsi="宋体" w:cs="宋体"/>
                <w:color w:val="333333"/>
                <w:spacing w:val="10"/>
                <w:sz w:val="18"/>
                <w:szCs w:val="18"/>
              </w:rPr>
            </w:pPr>
            <w:r>
              <w:rPr>
                <w:rFonts w:hint="eastAsia" w:ascii="宋体" w:hAnsi="宋体" w:cs="宋体"/>
                <w:color w:val="333333"/>
                <w:spacing w:val="10"/>
                <w:sz w:val="18"/>
                <w:szCs w:val="18"/>
              </w:rPr>
              <w:t>11、泰国最新数据显示，3月橡胶出口34万9427吨，增长65.50%，第1季度橡胶出口87万30吨，增长10.68%。中国需求量位居第1，占出口份额的32%。（天然橡胶网）</w:t>
            </w:r>
          </w:p>
          <w:p>
            <w:pPr>
              <w:rPr>
                <w:rFonts w:ascii="宋体" w:hAnsi="宋体" w:cs="宋体"/>
                <w:color w:val="333333"/>
                <w:spacing w:val="10"/>
                <w:sz w:val="18"/>
                <w:szCs w:val="18"/>
              </w:rPr>
            </w:pPr>
            <w:r>
              <w:rPr>
                <w:rFonts w:hint="eastAsia" w:ascii="宋体" w:hAnsi="宋体" w:cs="宋体"/>
                <w:color w:val="333333"/>
                <w:spacing w:val="10"/>
                <w:sz w:val="18"/>
                <w:szCs w:val="18"/>
              </w:rPr>
              <w:t>12、4月中国汽车产销量分别为205.2万辆和198万辆，同比分别下滑14.41%和14.6%，环比分别下滑19.78%和21.43%；重卡市场销售各类车型12.1万辆，环比下降19%，同比微降1%。（天然橡胶网）</w:t>
            </w:r>
          </w:p>
          <w:p>
            <w:pPr>
              <w:rPr>
                <w:rFonts w:ascii="宋体" w:hAnsi="宋体" w:cs="宋体"/>
                <w:color w:val="333333"/>
                <w:spacing w:val="10"/>
                <w:sz w:val="18"/>
                <w:szCs w:val="18"/>
              </w:rPr>
            </w:pPr>
            <w:r>
              <w:rPr>
                <w:rFonts w:hint="eastAsia" w:ascii="宋体" w:hAnsi="宋体" w:cs="宋体"/>
                <w:color w:val="333333"/>
                <w:spacing w:val="10"/>
                <w:sz w:val="18"/>
                <w:szCs w:val="18"/>
              </w:rPr>
              <w:t>13、2021年3月中国进口天然及合成橡胶(含胶乳)合计71.1万吨；2021年1-3月中国进口天然及合成橡胶(含胶乳)共计179.1万吨，同比增长8.0%。（橡胶技术网）</w:t>
            </w:r>
          </w:p>
          <w:p>
            <w:pPr>
              <w:rPr>
                <w:rFonts w:ascii="宋体" w:hAnsi="宋体" w:cs="宋体"/>
                <w:color w:val="333333"/>
                <w:spacing w:val="10"/>
                <w:sz w:val="18"/>
                <w:szCs w:val="18"/>
              </w:rPr>
            </w:pPr>
            <w:r>
              <w:rPr>
                <w:rFonts w:hint="eastAsia" w:ascii="宋体" w:hAnsi="宋体" w:cs="宋体"/>
                <w:color w:val="333333"/>
                <w:spacing w:val="10"/>
                <w:sz w:val="18"/>
                <w:szCs w:val="18"/>
              </w:rPr>
              <w:t>14、五一假期停产厂家基本恢复生产，但是部分厂家受出货和库存双重压力，出现自主控产行为，节后整体开工不及前期。部分厂家实施促销政策，幅度在2-5%左右。（橡胶技术网）</w:t>
            </w:r>
          </w:p>
          <w:p>
            <w:pPr>
              <w:rPr>
                <w:rFonts w:ascii="宋体" w:hAnsi="宋体" w:cs="宋体"/>
                <w:color w:val="333333"/>
                <w:spacing w:val="10"/>
                <w:sz w:val="18"/>
                <w:szCs w:val="18"/>
              </w:rPr>
            </w:pPr>
            <w:r>
              <w:rPr>
                <w:rFonts w:hint="eastAsia" w:ascii="宋体" w:hAnsi="宋体" w:cs="宋体"/>
                <w:color w:val="333333"/>
                <w:spacing w:val="10"/>
                <w:sz w:val="18"/>
                <w:szCs w:val="18"/>
              </w:rPr>
              <w:t>15、目前泰国浓缩乳胶的产量约为100万吨，其中一些将运往中国和马来西亚。预计未来胶料手套工厂将大量使用天然橡胶作为生产原料，因为比合成橡胶便宜。（WIND）</w:t>
            </w:r>
          </w:p>
        </w:tc>
      </w:tr>
    </w:tbl>
    <w:p>
      <w:pPr>
        <w:pStyle w:val="125"/>
        <w:widowControl/>
        <w:tabs>
          <w:tab w:val="left" w:pos="8595"/>
        </w:tabs>
        <w:spacing w:line="300" w:lineRule="auto"/>
        <w:ind w:firstLine="0" w:firstLineChars="0"/>
        <w:jc w:val="left"/>
        <w:rPr>
          <w:rFonts w:ascii="宋体" w:hAnsi="宋体"/>
          <w:kern w:val="0"/>
          <w:sz w:val="20"/>
        </w:rPr>
      </w:pPr>
    </w:p>
    <w:p>
      <w:pPr>
        <w:pStyle w:val="125"/>
        <w:widowControl/>
        <w:tabs>
          <w:tab w:val="left" w:pos="720"/>
          <w:tab w:val="left" w:pos="8595"/>
        </w:tabs>
        <w:spacing w:line="300" w:lineRule="auto"/>
        <w:ind w:firstLine="0" w:firstLineChars="0"/>
        <w:jc w:val="left"/>
        <w:rPr>
          <w:rFonts w:ascii="黑体" w:hAnsi="宋体" w:eastAsia="黑体"/>
          <w:color w:val="000000"/>
          <w:sz w:val="24"/>
        </w:rPr>
      </w:pPr>
      <w:r>
        <w:br w:type="page"/>
      </w:r>
      <w:bookmarkEnd w:id="3"/>
      <w:r>
        <w:rPr>
          <w:rFonts w:ascii="宋体" w:hAnsi="宋体"/>
          <w:kern w:val="0"/>
          <w:sz w:val="20"/>
        </w:rPr>
        <w:tab/>
      </w:r>
      <w:r>
        <w:rPr>
          <w:rFonts w:hint="eastAsia" w:ascii="黑体" w:hAnsi="宋体" w:eastAsia="黑体"/>
          <w:color w:val="000000"/>
          <w:sz w:val="24"/>
        </w:rPr>
        <w:t>免责声明：</w:t>
      </w:r>
    </w:p>
    <w:p>
      <w:pPr>
        <w:spacing w:line="340" w:lineRule="exact"/>
        <w:ind w:firstLine="420" w:firstLineChars="200"/>
        <w:rPr>
          <w:rFonts w:ascii="宋体" w:hAnsi="宋体"/>
          <w:color w:val="000000"/>
        </w:rPr>
      </w:pPr>
      <w:r>
        <w:rPr>
          <w:rFonts w:hint="eastAsia" w:ascii="宋体" w:hAnsi="宋体"/>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或征价，投资者据此作出的任何投资决策与本公司和作者无关，请投资者务必独立进行交易决策。我公司不对交易结果做任何保证，不对因本报告的内容而引致的损失承担任何责任。</w:t>
      </w:r>
    </w:p>
    <w:p>
      <w:pPr>
        <w:spacing w:line="340" w:lineRule="exact"/>
        <w:ind w:firstLine="420" w:firstLineChars="200"/>
        <w:rPr>
          <w:rFonts w:ascii="宋体" w:hAnsi="宋体"/>
          <w:color w:val="000000"/>
        </w:rPr>
      </w:pPr>
      <w:r>
        <w:rPr>
          <w:rFonts w:hint="eastAsia" w:ascii="宋体" w:hAnsi="宋体"/>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pPr>
        <w:spacing w:line="340" w:lineRule="exact"/>
        <w:ind w:firstLine="420" w:firstLineChars="200"/>
        <w:rPr>
          <w:rFonts w:ascii="宋体" w:hAnsi="宋体"/>
          <w:color w:val="000000"/>
        </w:rPr>
      </w:pPr>
      <w:r>
        <w:rPr>
          <w:rFonts w:hint="eastAsia" w:ascii="宋体" w:hAnsi="宋体"/>
          <w:color w:val="000000"/>
        </w:rPr>
        <w:t>3.在法律范围内，公司或关联机构可能会就涉及的品种进行交易，或可能为其他公司交易提供服务。</w:t>
      </w:r>
    </w:p>
    <w:p>
      <w:pPr>
        <w:spacing w:line="340" w:lineRule="exact"/>
        <w:ind w:firstLine="420" w:firstLineChars="200"/>
        <w:rPr>
          <w:rFonts w:ascii="宋体" w:hAnsi="宋体"/>
          <w:color w:val="000000"/>
        </w:rPr>
      </w:pPr>
      <w:r>
        <w:rPr>
          <w:rFonts w:hint="eastAsia" w:ascii="宋体" w:hAnsi="宋体"/>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sectPr>
      <w:headerReference r:id="rId3" w:type="default"/>
      <w:footerReference r:id="rId5" w:type="default"/>
      <w:headerReference r:id="rId4" w:type="even"/>
      <w:footerReference r:id="rId6" w:type="even"/>
      <w:pgSz w:w="11906" w:h="16838"/>
      <w:pgMar w:top="1701" w:right="1274" w:bottom="1701" w:left="9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Arial Black">
    <w:panose1 w:val="020B0A04020102020204"/>
    <w:charset w:val="00"/>
    <w:family w:val="swiss"/>
    <w:pitch w:val="default"/>
    <w:sig w:usb0="A00002AF" w:usb1="400078FB" w:usb2="00000000" w:usb3="00000000" w:csb0="6000009F" w:csb1="DFD70000"/>
  </w:font>
  <w:font w:name="inherit">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page" w:x="10621" w:y="-182"/>
      <w:rPr>
        <w:rStyle w:val="91"/>
        <w:rFonts w:ascii="仿宋_GB2312" w:hAnsi="仿宋_GB2312" w:eastAsia="仿宋_GB2312"/>
        <w:color w:val="CC0000"/>
        <w:sz w:val="22"/>
      </w:rPr>
    </w:pPr>
    <w:r>
      <w:rPr>
        <w:rFonts w:hint="eastAsia" w:ascii="仿宋_GB2312" w:hAnsi="仿宋_GB2312" w:eastAsia="仿宋_GB2312"/>
        <w:b/>
        <w:color w:val="CC0000"/>
        <w:sz w:val="30"/>
      </w:rPr>
      <w:fldChar w:fldCharType="begin"/>
    </w:r>
    <w:r>
      <w:rPr>
        <w:rStyle w:val="91"/>
        <w:rFonts w:hint="eastAsia" w:ascii="仿宋_GB2312" w:hAnsi="仿宋_GB2312" w:eastAsia="仿宋_GB2312"/>
        <w:b/>
        <w:color w:val="CC0000"/>
        <w:sz w:val="30"/>
      </w:rPr>
      <w:instrText xml:space="preserve">PAGE  </w:instrText>
    </w:r>
    <w:r>
      <w:rPr>
        <w:rFonts w:hint="eastAsia" w:ascii="仿宋_GB2312" w:hAnsi="仿宋_GB2312" w:eastAsia="仿宋_GB2312"/>
        <w:b/>
        <w:color w:val="CC0000"/>
        <w:sz w:val="30"/>
      </w:rPr>
      <w:fldChar w:fldCharType="separate"/>
    </w:r>
    <w:r>
      <w:rPr>
        <w:rStyle w:val="91"/>
        <w:rFonts w:ascii="仿宋_GB2312" w:hAnsi="仿宋_GB2312" w:eastAsia="仿宋_GB2312"/>
        <w:b/>
        <w:color w:val="CC0000"/>
        <w:sz w:val="30"/>
      </w:rPr>
      <w:t>7</w:t>
    </w:r>
    <w:r>
      <w:rPr>
        <w:rFonts w:hint="eastAsia" w:ascii="仿宋_GB2312" w:hAnsi="仿宋_GB2312" w:eastAsia="仿宋_GB2312"/>
        <w:b/>
        <w:color w:val="CC0000"/>
        <w:sz w:val="30"/>
      </w:rPr>
      <w:fldChar w:fldCharType="end"/>
    </w:r>
  </w:p>
  <w:p>
    <w:pPr>
      <w:pStyle w:val="55"/>
      <w:rPr>
        <w:sz w:val="21"/>
      </w:rPr>
    </w:pPr>
    <w: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pPr>
                            <w:ind w:firstLine="361" w:firstLineChars="150"/>
                            <w:jc w:val="center"/>
                            <w:rPr>
                              <w:rFonts w:ascii="宋体" w:hAnsi="宋体"/>
                              <w:b/>
                              <w:color w:val="FFFFFF"/>
                              <w:sz w:val="24"/>
                            </w:rPr>
                          </w:pPr>
                          <w:r>
                            <w:rPr>
                              <w:rFonts w:hint="eastAsia" w:ascii="宋体" w:hAnsi="宋体"/>
                              <w:b/>
                              <w:color w:val="FFFFFF"/>
                              <w:sz w:val="24"/>
                            </w:rPr>
                            <w:t>期市有风险投资须谨慎</w:t>
                          </w:r>
                        </w:p>
                      </w:txbxContent>
                    </wps:txbx>
                    <wps:bodyPr wrap="square" upright="1"/>
                  </wps:wsp>
                </a:graphicData>
              </a:graphic>
            </wp:anchor>
          </w:drawing>
        </mc:Choice>
        <mc:Fallback>
          <w:pict>
            <v:rect id="Rectangle 7" o:spid="_x0000_s1026" o:spt="1" style="position:absolute;left:0pt;margin-left:162.7pt;margin-top:755.85pt;height:23.4pt;width:314.6pt;mso-position-vertical-relative:page;z-index:251663360;mso-width-relative:page;mso-height-relative:page;" fillcolor="#CC0000" filled="t" stroked="t" coordsize="21600,21600" o:gfxdata="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oMDrjbAAAADQEAAA8AAAAAAAAAAQAgAAAAIgAA&#10;AGRycy9kb3ducmV2LnhtbFBLAQIUABQAAAAIAIdO4kDvQqUZBQIAAEkEAAAOAAAAAAAAAAEAIAAA&#10;ACoBAABkcnMvZTJvRG9jLnhtbFBLBQYAAAAABgAGAFkBAAChBQAAAAA=&#10;">
              <v:fill on="t" focussize="0,0"/>
              <v:stroke weight="2pt" color="#CC0000" joinstyle="miter"/>
              <v:imagedata o:title=""/>
              <o:lock v:ext="edit" aspectratio="f"/>
              <v:textbox>
                <w:txbxContent>
                  <w:p>
                    <w:pPr>
                      <w:ind w:firstLine="361" w:firstLineChars="150"/>
                      <w:jc w:val="center"/>
                      <w:rPr>
                        <w:rFonts w:ascii="宋体" w:hAnsi="宋体"/>
                        <w:b/>
                        <w:color w:val="FFFFFF"/>
                        <w:sz w:val="24"/>
                      </w:rPr>
                    </w:pPr>
                    <w:r>
                      <w:rPr>
                        <w:rFonts w:hint="eastAsia" w:ascii="宋体" w:hAnsi="宋体"/>
                        <w:b/>
                        <w:color w:val="FFFFFF"/>
                        <w:sz w:val="24"/>
                      </w:rPr>
                      <w:t>期市有风险投资须谨慎</w:t>
                    </w:r>
                  </w:p>
                </w:txbxContent>
              </v:textbox>
            </v:rect>
          </w:pict>
        </mc:Fallback>
      </mc:AlternateContent>
    </w:r>
  </w:p>
  <w:p>
    <w:pPr>
      <w:pStyle w:val="55"/>
    </w:pPr>
    <w: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pPr>
                            <w:jc w:val="center"/>
                            <w:rPr>
                              <w:rFonts w:ascii="宋体" w:hAnsi="宋体"/>
                              <w:b/>
                              <w:color w:val="CC0000"/>
                            </w:rPr>
                          </w:pPr>
                          <w:r>
                            <w:rPr>
                              <w:rFonts w:hint="eastAsia" w:ascii="宋体" w:hAnsi="宋体"/>
                              <w:b/>
                              <w:color w:val="CC0000"/>
                            </w:rPr>
                            <w:t>敬请参阅文后的免责声明</w:t>
                          </w:r>
                        </w:p>
                      </w:txbxContent>
                    </wps:txbx>
                    <wps:bodyPr wrap="square" upright="1"/>
                  </wps:wsp>
                </a:graphicData>
              </a:graphic>
            </wp:anchor>
          </w:drawing>
        </mc:Choice>
        <mc:Fallback>
          <w:pict>
            <v:shape id="Text Box 6" o:spid="_x0000_s1026" o:spt="202" type="#_x0000_t202" style="position:absolute;left:0pt;margin-left:-19.2pt;margin-top:755.85pt;height:23.4pt;width:180pt;mso-position-vertical-relative:page;z-index:251665408;mso-width-relative:page;mso-height-relative:page;" filled="f" stroked="t" coordsize="21600,21600" o:gfxdata="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73k+d2gAAAA0BAAAPAAAAAAAAAAEAIAAAACIAAABk&#10;cnMvZG93bnJldi54bWxQSwECFAAUAAAACACHTuJA6+HwjQQCAAApBAAADgAAAAAAAAABACAAAAAp&#10;AQAAZHJzL2Uyb0RvYy54bWxQSwUGAAAAAAYABgBZAQAAnwUAAAAA&#10;">
              <v:fill on="f" focussize="0,0"/>
              <v:stroke weight="2pt" color="#CC0000" joinstyle="miter"/>
              <v:imagedata o:title=""/>
              <o:lock v:ext="edit" aspectratio="f"/>
              <v:textbox>
                <w:txbxContent>
                  <w:p>
                    <w:pPr>
                      <w:jc w:val="center"/>
                      <w:rPr>
                        <w:rFonts w:ascii="宋体" w:hAnsi="宋体"/>
                        <w:b/>
                        <w:color w:val="CC0000"/>
                      </w:rPr>
                    </w:pPr>
                    <w:r>
                      <w:rPr>
                        <w:rFonts w:hint="eastAsia" w:ascii="宋体" w:hAnsi="宋体"/>
                        <w:b/>
                        <w:color w:val="CC0000"/>
                      </w:rPr>
                      <w:t>敬请参阅文后的免责声明</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rPr>
        <w:b/>
        <w:i/>
        <w:sz w:val="21"/>
      </w:rPr>
    </w:pPr>
    <w:r>
      <w:rPr>
        <w:rFonts w:hint="eastAsia"/>
        <w:b/>
        <w:i/>
        <w:sz w:val="21"/>
      </w:rPr>
      <w:t>内部交流资料，仅供参考</w:t>
    </w:r>
    <w:r>
      <w:fldChar w:fldCharType="begin"/>
    </w:r>
    <w:r>
      <w:rPr>
        <w:rStyle w:val="91"/>
      </w:rPr>
      <w:instrText xml:space="preserve"> PAGE </w:instrText>
    </w:r>
    <w:r>
      <w:fldChar w:fldCharType="separate"/>
    </w:r>
    <w:r>
      <w:rPr>
        <w:rStyle w:val="91"/>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kern w:val="0"/>
        <w:sz w:val="24"/>
      </w:rPr>
    </w:pPr>
    <w: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wps:txbx>
                    <wps:bodyPr wrap="square" upright="1"/>
                  </wps:wsp>
                </a:graphicData>
              </a:graphic>
            </wp:anchor>
          </w:drawing>
        </mc:Choice>
        <mc:Fallback>
          <w:pict>
            <v:roundrect id="AutoShape 5" o:spid="_x0000_s1026" o:spt="2" style="position:absolute;left:0pt;margin-left:336.5pt;margin-top:3.5pt;height:31.2pt;width:158.25pt;z-index:251659264;mso-width-relative:page;mso-height-relative:page;" filled="f" stroked="f" coordsize="21600,21600" arcsize="0.166666666666667" o:gfxdata="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&#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iNmgTYAAAACAEAAA8AAAAAAAAAAQAgAAAAIgAAAGRy&#10;cy9kb3ducmV2LnhtbFBLAQIUABQAAAAIAIdO4kBRJMLMzAEAAJoDAAAOAAAAAAAAAAEAIAAAACcB&#10;AABkcnMvZTJvRG9jLnhtbFBLBQYAAAAABgAGAFkBAABlBQAAAAA=&#10;">
              <v:fill on="f" focussize="0,0"/>
              <v:stroke on="f"/>
              <v:imagedata o:title=""/>
              <o:lock v:ext="edit" aspectratio="f"/>
              <v:textbo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v:textbox>
            </v:round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pPr>
      <w:pStyle w:val="57"/>
      <w:pBdr>
        <w:bottom w:val="none" w:color="auto" w:sz="0" w:space="0"/>
      </w:pBdr>
      <w:jc w:val="both"/>
    </w:pPr>
    <w: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japaneseCounting"/>
      <w:lvlText w:val="%1、"/>
      <w:lvlJc w:val="left"/>
      <w:pPr>
        <w:tabs>
          <w:tab w:val="left" w:pos="720"/>
        </w:tabs>
        <w:ind w:left="720" w:hanging="720"/>
      </w:pPr>
      <w:rPr>
        <w:rFonts w:hint="default"/>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9CF"/>
    <w:rsid w:val="00076D69"/>
    <w:rsid w:val="00077B13"/>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D48"/>
    <w:rsid w:val="000A0EA3"/>
    <w:rsid w:val="000A1241"/>
    <w:rsid w:val="000A1BF4"/>
    <w:rsid w:val="000A201F"/>
    <w:rsid w:val="000A4113"/>
    <w:rsid w:val="000A4DC1"/>
    <w:rsid w:val="000A6D18"/>
    <w:rsid w:val="000A73DA"/>
    <w:rsid w:val="000A7530"/>
    <w:rsid w:val="000A7743"/>
    <w:rsid w:val="000B059A"/>
    <w:rsid w:val="000B1FE3"/>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5673"/>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2E28"/>
    <w:rsid w:val="000F39AD"/>
    <w:rsid w:val="000F3B3C"/>
    <w:rsid w:val="000F4B79"/>
    <w:rsid w:val="000F5FA1"/>
    <w:rsid w:val="000F6104"/>
    <w:rsid w:val="000F6479"/>
    <w:rsid w:val="000F7A77"/>
    <w:rsid w:val="001003DD"/>
    <w:rsid w:val="00100969"/>
    <w:rsid w:val="001023E9"/>
    <w:rsid w:val="00103CB5"/>
    <w:rsid w:val="00103CD4"/>
    <w:rsid w:val="00104535"/>
    <w:rsid w:val="00105581"/>
    <w:rsid w:val="00105CBD"/>
    <w:rsid w:val="00106321"/>
    <w:rsid w:val="001065BD"/>
    <w:rsid w:val="00106E25"/>
    <w:rsid w:val="00107604"/>
    <w:rsid w:val="00107FFC"/>
    <w:rsid w:val="00110A98"/>
    <w:rsid w:val="0011268B"/>
    <w:rsid w:val="00112CAD"/>
    <w:rsid w:val="00112E2C"/>
    <w:rsid w:val="00113026"/>
    <w:rsid w:val="00113CFE"/>
    <w:rsid w:val="00113DD7"/>
    <w:rsid w:val="001147BC"/>
    <w:rsid w:val="00114823"/>
    <w:rsid w:val="001159C1"/>
    <w:rsid w:val="00115A51"/>
    <w:rsid w:val="00116A2B"/>
    <w:rsid w:val="00116B1F"/>
    <w:rsid w:val="00116FE1"/>
    <w:rsid w:val="0011701D"/>
    <w:rsid w:val="001179D1"/>
    <w:rsid w:val="00117CDD"/>
    <w:rsid w:val="0012037C"/>
    <w:rsid w:val="001213C3"/>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1DA7"/>
    <w:rsid w:val="001A2C80"/>
    <w:rsid w:val="001A2DAB"/>
    <w:rsid w:val="001A3D40"/>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87"/>
    <w:rsid w:val="001C025C"/>
    <w:rsid w:val="001C0347"/>
    <w:rsid w:val="001C14E4"/>
    <w:rsid w:val="001C1DAC"/>
    <w:rsid w:val="001C38C2"/>
    <w:rsid w:val="001C3D1B"/>
    <w:rsid w:val="001C4A42"/>
    <w:rsid w:val="001C597F"/>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3998"/>
    <w:rsid w:val="001E45DC"/>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C10"/>
    <w:rsid w:val="002C3AA5"/>
    <w:rsid w:val="002C4ACD"/>
    <w:rsid w:val="002C4D18"/>
    <w:rsid w:val="002C4E52"/>
    <w:rsid w:val="002C594B"/>
    <w:rsid w:val="002C5B56"/>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4A2"/>
    <w:rsid w:val="002E6B88"/>
    <w:rsid w:val="002E7062"/>
    <w:rsid w:val="002F009E"/>
    <w:rsid w:val="002F00D3"/>
    <w:rsid w:val="002F29F2"/>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9EF"/>
    <w:rsid w:val="00340CA3"/>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F5"/>
    <w:rsid w:val="00350EF7"/>
    <w:rsid w:val="00350FDB"/>
    <w:rsid w:val="00353599"/>
    <w:rsid w:val="00353BE8"/>
    <w:rsid w:val="003548EA"/>
    <w:rsid w:val="00354918"/>
    <w:rsid w:val="00355474"/>
    <w:rsid w:val="00355675"/>
    <w:rsid w:val="00357C21"/>
    <w:rsid w:val="00361440"/>
    <w:rsid w:val="003614FA"/>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EA8"/>
    <w:rsid w:val="004F2CCD"/>
    <w:rsid w:val="004F321F"/>
    <w:rsid w:val="004F387F"/>
    <w:rsid w:val="004F51C3"/>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EC1"/>
    <w:rsid w:val="00625BA0"/>
    <w:rsid w:val="006262A7"/>
    <w:rsid w:val="00626743"/>
    <w:rsid w:val="00627204"/>
    <w:rsid w:val="0062756B"/>
    <w:rsid w:val="0062785D"/>
    <w:rsid w:val="006278FD"/>
    <w:rsid w:val="006305B8"/>
    <w:rsid w:val="00631317"/>
    <w:rsid w:val="00631775"/>
    <w:rsid w:val="00633783"/>
    <w:rsid w:val="006337AA"/>
    <w:rsid w:val="0063401C"/>
    <w:rsid w:val="00634F3E"/>
    <w:rsid w:val="006357E9"/>
    <w:rsid w:val="00636473"/>
    <w:rsid w:val="006364D9"/>
    <w:rsid w:val="00636946"/>
    <w:rsid w:val="00636CB8"/>
    <w:rsid w:val="00636DCF"/>
    <w:rsid w:val="00637DA7"/>
    <w:rsid w:val="00637F2F"/>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AD"/>
    <w:rsid w:val="00670908"/>
    <w:rsid w:val="0067156F"/>
    <w:rsid w:val="006728E6"/>
    <w:rsid w:val="00673E8F"/>
    <w:rsid w:val="006751C2"/>
    <w:rsid w:val="0067611C"/>
    <w:rsid w:val="00676168"/>
    <w:rsid w:val="00676F12"/>
    <w:rsid w:val="0067712D"/>
    <w:rsid w:val="006772FB"/>
    <w:rsid w:val="00677CB9"/>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5AEF"/>
    <w:rsid w:val="00705DB6"/>
    <w:rsid w:val="00706AF7"/>
    <w:rsid w:val="00707427"/>
    <w:rsid w:val="007079D2"/>
    <w:rsid w:val="00707BAC"/>
    <w:rsid w:val="00710445"/>
    <w:rsid w:val="0071073F"/>
    <w:rsid w:val="00710DFC"/>
    <w:rsid w:val="00711314"/>
    <w:rsid w:val="00711423"/>
    <w:rsid w:val="0071273D"/>
    <w:rsid w:val="007128D7"/>
    <w:rsid w:val="00714FF6"/>
    <w:rsid w:val="00716833"/>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9"/>
    <w:rsid w:val="00731B4A"/>
    <w:rsid w:val="00731F61"/>
    <w:rsid w:val="00732157"/>
    <w:rsid w:val="00732D64"/>
    <w:rsid w:val="00733371"/>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EA"/>
    <w:rsid w:val="008C4624"/>
    <w:rsid w:val="008C749F"/>
    <w:rsid w:val="008C74BD"/>
    <w:rsid w:val="008D00E9"/>
    <w:rsid w:val="008D19DE"/>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616E"/>
    <w:rsid w:val="009363AA"/>
    <w:rsid w:val="009364C0"/>
    <w:rsid w:val="00936BE7"/>
    <w:rsid w:val="00937BBF"/>
    <w:rsid w:val="00940C13"/>
    <w:rsid w:val="0094144F"/>
    <w:rsid w:val="009417D0"/>
    <w:rsid w:val="00941CD8"/>
    <w:rsid w:val="00941D9E"/>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78D6"/>
    <w:rsid w:val="00957AFC"/>
    <w:rsid w:val="009600AE"/>
    <w:rsid w:val="009601CA"/>
    <w:rsid w:val="00960E54"/>
    <w:rsid w:val="00960EA5"/>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4346"/>
    <w:rsid w:val="00A74E5D"/>
    <w:rsid w:val="00A7576A"/>
    <w:rsid w:val="00A7649E"/>
    <w:rsid w:val="00A77830"/>
    <w:rsid w:val="00A808FC"/>
    <w:rsid w:val="00A817EC"/>
    <w:rsid w:val="00A818D0"/>
    <w:rsid w:val="00A82796"/>
    <w:rsid w:val="00A828F5"/>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943"/>
    <w:rsid w:val="00B33AF7"/>
    <w:rsid w:val="00B33ED0"/>
    <w:rsid w:val="00B342B8"/>
    <w:rsid w:val="00B356DF"/>
    <w:rsid w:val="00B35E04"/>
    <w:rsid w:val="00B35F87"/>
    <w:rsid w:val="00B363B9"/>
    <w:rsid w:val="00B3729A"/>
    <w:rsid w:val="00B4012B"/>
    <w:rsid w:val="00B40988"/>
    <w:rsid w:val="00B40BFF"/>
    <w:rsid w:val="00B41A99"/>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350F"/>
    <w:rsid w:val="00BB371E"/>
    <w:rsid w:val="00BB3D0F"/>
    <w:rsid w:val="00BB4121"/>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B2A"/>
    <w:rsid w:val="00BD0FE7"/>
    <w:rsid w:val="00BD1C1F"/>
    <w:rsid w:val="00BD2D56"/>
    <w:rsid w:val="00BD4282"/>
    <w:rsid w:val="00BD47E7"/>
    <w:rsid w:val="00BD4E42"/>
    <w:rsid w:val="00BD512E"/>
    <w:rsid w:val="00BD55BA"/>
    <w:rsid w:val="00BD5E42"/>
    <w:rsid w:val="00BD6A12"/>
    <w:rsid w:val="00BD779F"/>
    <w:rsid w:val="00BE0403"/>
    <w:rsid w:val="00BE1636"/>
    <w:rsid w:val="00BE197F"/>
    <w:rsid w:val="00BE1D3C"/>
    <w:rsid w:val="00BE1D41"/>
    <w:rsid w:val="00BE20C9"/>
    <w:rsid w:val="00BE2238"/>
    <w:rsid w:val="00BE305D"/>
    <w:rsid w:val="00BE30BC"/>
    <w:rsid w:val="00BE3870"/>
    <w:rsid w:val="00BE4017"/>
    <w:rsid w:val="00BE405E"/>
    <w:rsid w:val="00BE4A26"/>
    <w:rsid w:val="00BE6151"/>
    <w:rsid w:val="00BE6B06"/>
    <w:rsid w:val="00BE6D61"/>
    <w:rsid w:val="00BF04D9"/>
    <w:rsid w:val="00BF13ED"/>
    <w:rsid w:val="00BF2130"/>
    <w:rsid w:val="00BF22AB"/>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156A"/>
    <w:rsid w:val="00C6174A"/>
    <w:rsid w:val="00C6233A"/>
    <w:rsid w:val="00C6264C"/>
    <w:rsid w:val="00C62929"/>
    <w:rsid w:val="00C6492A"/>
    <w:rsid w:val="00C64F63"/>
    <w:rsid w:val="00C650AB"/>
    <w:rsid w:val="00C66A2C"/>
    <w:rsid w:val="00C66D46"/>
    <w:rsid w:val="00C70035"/>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911"/>
    <w:rsid w:val="00D24864"/>
    <w:rsid w:val="00D24DC8"/>
    <w:rsid w:val="00D255FF"/>
    <w:rsid w:val="00D25EDB"/>
    <w:rsid w:val="00D2604F"/>
    <w:rsid w:val="00D260D1"/>
    <w:rsid w:val="00D26E51"/>
    <w:rsid w:val="00D271E4"/>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97A"/>
    <w:rsid w:val="00D62B44"/>
    <w:rsid w:val="00D6383A"/>
    <w:rsid w:val="00D6392E"/>
    <w:rsid w:val="00D6445A"/>
    <w:rsid w:val="00D65062"/>
    <w:rsid w:val="00D65736"/>
    <w:rsid w:val="00D65832"/>
    <w:rsid w:val="00D7011E"/>
    <w:rsid w:val="00D70524"/>
    <w:rsid w:val="00D70581"/>
    <w:rsid w:val="00D735CB"/>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60F5"/>
    <w:rsid w:val="00DB6A7B"/>
    <w:rsid w:val="00DB6C2B"/>
    <w:rsid w:val="00DB7519"/>
    <w:rsid w:val="00DB7986"/>
    <w:rsid w:val="00DC0018"/>
    <w:rsid w:val="00DC01B7"/>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E0057B"/>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2306"/>
    <w:rsid w:val="00E32A66"/>
    <w:rsid w:val="00E32E71"/>
    <w:rsid w:val="00E3313D"/>
    <w:rsid w:val="00E33FDA"/>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F7"/>
    <w:rsid w:val="00E4694A"/>
    <w:rsid w:val="00E50140"/>
    <w:rsid w:val="00E5093D"/>
    <w:rsid w:val="00E50C03"/>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4364"/>
    <w:rsid w:val="00E75603"/>
    <w:rsid w:val="00E76411"/>
    <w:rsid w:val="00E767B7"/>
    <w:rsid w:val="00E76ABC"/>
    <w:rsid w:val="00E76C83"/>
    <w:rsid w:val="00E771CE"/>
    <w:rsid w:val="00E7767A"/>
    <w:rsid w:val="00E80174"/>
    <w:rsid w:val="00E8047F"/>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5DA2"/>
    <w:rsid w:val="00F95DE2"/>
    <w:rsid w:val="00F9633D"/>
    <w:rsid w:val="00F96E00"/>
    <w:rsid w:val="00F97529"/>
    <w:rsid w:val="00F978FE"/>
    <w:rsid w:val="00FA02DB"/>
    <w:rsid w:val="00FA04C1"/>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3C05AC"/>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keepLines/>
      <w:spacing w:before="260" w:after="260" w:line="413" w:lineRule="auto"/>
      <w:outlineLvl w:val="1"/>
    </w:pPr>
    <w:rPr>
      <w:sz w:val="28"/>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before="280" w:after="290" w:line="372" w:lineRule="auto"/>
      <w:outlineLvl w:val="4"/>
    </w:pPr>
    <w:rPr>
      <w:b/>
      <w:sz w:val="28"/>
    </w:rPr>
  </w:style>
  <w:style w:type="paragraph" w:styleId="8">
    <w:name w:val="heading 6"/>
    <w:basedOn w:val="1"/>
    <w:next w:val="1"/>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qFormat/>
    <w:uiPriority w:val="0"/>
    <w:pPr>
      <w:keepNext/>
      <w:keepLines/>
      <w:spacing w:before="240" w:after="64" w:line="317" w:lineRule="auto"/>
      <w:outlineLvl w:val="6"/>
    </w:pPr>
    <w:rPr>
      <w:b/>
      <w:sz w:val="24"/>
    </w:rPr>
  </w:style>
  <w:style w:type="paragraph" w:styleId="10">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17" w:lineRule="auto"/>
      <w:outlineLvl w:val="8"/>
    </w:pPr>
    <w:rPr>
      <w:rFonts w:ascii="Arial" w:hAnsi="Arial" w:eastAsia="黑体"/>
    </w:rPr>
  </w:style>
  <w:style w:type="character" w:default="1" w:styleId="89">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lang w:val="en-US" w:eastAsia="zh-CN" w:bidi="ar-SA"/>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tabs>
        <w:tab w:val="left" w:pos="780"/>
      </w:tabs>
      <w:ind w:left="780" w:hanging="360"/>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tabs>
        <w:tab w:val="left" w:pos="1620"/>
      </w:tabs>
      <w:ind w:left="1620" w:hanging="360"/>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tabs>
        <w:tab w:val="left" w:pos="360"/>
      </w:tabs>
      <w:ind w:left="360" w:hanging="360"/>
    </w:pPr>
  </w:style>
  <w:style w:type="paragraph" w:styleId="21">
    <w:name w:val="Normal Indent"/>
    <w:basedOn w:val="1"/>
    <w:qFormat/>
    <w:uiPriority w:val="0"/>
    <w:pPr>
      <w:ind w:firstLine="420" w:firstLineChars="200"/>
    </w:pPr>
  </w:style>
  <w:style w:type="paragraph" w:styleId="22">
    <w:name w:val="caption"/>
    <w:basedOn w:val="1"/>
    <w:next w:val="1"/>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tabs>
        <w:tab w:val="left" w:pos="360"/>
      </w:tabs>
      <w:ind w:left="360" w:hanging="360"/>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pPr>
    <w:rPr>
      <w:sz w:val="16"/>
    </w:rPr>
  </w:style>
  <w:style w:type="paragraph" w:styleId="32">
    <w:name w:val="Closing"/>
    <w:basedOn w:val="1"/>
    <w:qFormat/>
    <w:uiPriority w:val="0"/>
    <w:pPr>
      <w:ind w:left="100" w:leftChars="2100"/>
    </w:pPr>
  </w:style>
  <w:style w:type="paragraph" w:styleId="33">
    <w:name w:val="List Bullet 3"/>
    <w:basedOn w:val="1"/>
    <w:qFormat/>
    <w:uiPriority w:val="0"/>
    <w:pPr>
      <w:tabs>
        <w:tab w:val="left" w:pos="1200"/>
      </w:tabs>
      <w:ind w:left="1200" w:hanging="360"/>
    </w:pPr>
  </w:style>
  <w:style w:type="paragraph" w:styleId="34">
    <w:name w:val="Body Text"/>
    <w:basedOn w:val="1"/>
    <w:qFormat/>
    <w:uiPriority w:val="0"/>
    <w:pPr>
      <w:spacing w:after="120"/>
    </w:pPr>
  </w:style>
  <w:style w:type="paragraph" w:styleId="35">
    <w:name w:val="Body Text Indent"/>
    <w:basedOn w:val="1"/>
    <w:qFormat/>
    <w:uiPriority w:val="0"/>
    <w:pPr>
      <w:spacing w:after="120"/>
      <w:ind w:left="420" w:leftChars="200"/>
    </w:pPr>
  </w:style>
  <w:style w:type="paragraph" w:styleId="36">
    <w:name w:val="List Number 3"/>
    <w:basedOn w:val="1"/>
    <w:qFormat/>
    <w:uiPriority w:val="0"/>
    <w:pPr>
      <w:tabs>
        <w:tab w:val="left" w:pos="1200"/>
      </w:tabs>
      <w:ind w:left="1200" w:hanging="360"/>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ind w:left="420" w:leftChars="200"/>
    </w:pPr>
  </w:style>
  <w:style w:type="paragraph" w:styleId="39">
    <w:name w:val="Block Text"/>
    <w:basedOn w:val="1"/>
    <w:qFormat/>
    <w:uiPriority w:val="0"/>
    <w:pPr>
      <w:spacing w:after="120"/>
      <w:ind w:left="1440" w:leftChars="700" w:right="700" w:rightChars="700"/>
    </w:pPr>
  </w:style>
  <w:style w:type="paragraph" w:styleId="40">
    <w:name w:val="List Bullet 2"/>
    <w:basedOn w:val="1"/>
    <w:qFormat/>
    <w:uiPriority w:val="0"/>
    <w:pPr>
      <w:tabs>
        <w:tab w:val="left" w:pos="780"/>
      </w:tabs>
      <w:ind w:left="780" w:hanging="360"/>
    </w:pPr>
  </w:style>
  <w:style w:type="paragraph" w:styleId="41">
    <w:name w:val="HTML Address"/>
    <w:basedOn w:val="1"/>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tabs>
        <w:tab w:val="left" w:pos="2040"/>
      </w:tabs>
      <w:ind w:left="2040" w:hanging="360"/>
    </w:pPr>
  </w:style>
  <w:style w:type="paragraph" w:styleId="47">
    <w:name w:val="List Number 4"/>
    <w:basedOn w:val="1"/>
    <w:qFormat/>
    <w:uiPriority w:val="0"/>
    <w:pPr>
      <w:tabs>
        <w:tab w:val="left" w:pos="1620"/>
      </w:tabs>
      <w:ind w:left="1620" w:hanging="360"/>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ind w:left="2100" w:leftChars="1000"/>
    </w:pPr>
  </w:style>
  <w:style w:type="paragraph" w:styleId="54">
    <w:name w:val="Balloon Text"/>
    <w:basedOn w:val="1"/>
    <w:qFormat/>
    <w:uiPriority w:val="0"/>
    <w:rPr>
      <w:sz w:val="18"/>
    </w:rPr>
  </w:style>
  <w:style w:type="paragraph" w:styleId="55">
    <w:name w:val="footer"/>
    <w:basedOn w:val="1"/>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link w:val="116"/>
    <w:qFormat/>
    <w:uiPriority w:val="0"/>
    <w:pPr>
      <w:pBdr>
        <w:bottom w:val="single" w:color="auto" w:sz="6" w:space="1"/>
      </w:pBdr>
      <w:tabs>
        <w:tab w:val="center" w:pos="4153"/>
        <w:tab w:val="right" w:pos="8306"/>
      </w:tabs>
      <w:snapToGrid w:val="0"/>
      <w:jc w:val="center"/>
    </w:pPr>
    <w:rPr>
      <w:rFonts w:ascii="Calibri" w:hAnsi="Calibri"/>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qFormat/>
    <w:uiPriority w:val="0"/>
    <w:pPr>
      <w:spacing w:before="240" w:after="60" w:line="312" w:lineRule="auto"/>
      <w:jc w:val="center"/>
      <w:outlineLvl w:val="1"/>
    </w:pPr>
    <w:rPr>
      <w:rFonts w:ascii="Arial" w:hAnsi="Arial"/>
      <w:b/>
      <w:kern w:val="28"/>
      <w:sz w:val="32"/>
    </w:rPr>
  </w:style>
  <w:style w:type="paragraph" w:styleId="65">
    <w:name w:val="List Number 5"/>
    <w:basedOn w:val="1"/>
    <w:qFormat/>
    <w:uiPriority w:val="0"/>
    <w:pPr>
      <w:tabs>
        <w:tab w:val="left" w:pos="2040"/>
      </w:tabs>
      <w:ind w:left="2040" w:hanging="360"/>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line="300" w:lineRule="auto"/>
      <w:ind w:firstLine="480" w:firstLineChars="200"/>
    </w:pPr>
    <w:rPr>
      <w:sz w:val="24"/>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200"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qFormat/>
    <w:uiPriority w:val="0"/>
    <w:pPr>
      <w:spacing w:after="12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link w:val="111"/>
    <w:qFormat/>
    <w:uiPriority w:val="99"/>
    <w:rPr>
      <w:rFonts w:ascii="Courier New" w:hAnsi="Courier New"/>
    </w:rPr>
  </w:style>
  <w:style w:type="paragraph" w:styleId="81">
    <w:name w:val="Normal (Web)"/>
    <w:basedOn w:val="1"/>
    <w:qFormat/>
    <w:uiPriority w:val="99"/>
    <w:pPr>
      <w:spacing w:before="100" w:beforeAutospacing="1" w:after="100" w:afterAutospacing="1"/>
      <w:jc w:val="left"/>
    </w:pPr>
    <w:rPr>
      <w:kern w:val="0"/>
      <w:sz w:val="24"/>
    </w:rPr>
  </w:style>
  <w:style w:type="paragraph" w:styleId="82">
    <w:name w:val="List Continue 3"/>
    <w:basedOn w:val="1"/>
    <w:qFormat/>
    <w:uiPriority w:val="0"/>
    <w:pPr>
      <w:spacing w:after="120"/>
      <w:ind w:left="1260" w:leftChars="600"/>
    </w:pPr>
  </w:style>
  <w:style w:type="paragraph" w:styleId="83">
    <w:name w:val="index 2"/>
    <w:basedOn w:val="1"/>
    <w:next w:val="1"/>
    <w:qFormat/>
    <w:uiPriority w:val="0"/>
    <w:pPr>
      <w:ind w:left="200" w:leftChars="200"/>
    </w:pPr>
  </w:style>
  <w:style w:type="paragraph" w:styleId="84">
    <w:name w:val="Title"/>
    <w:basedOn w:val="1"/>
    <w:qFormat/>
    <w:uiPriority w:val="0"/>
    <w:pPr>
      <w:spacing w:before="240" w:after="6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character" w:styleId="90">
    <w:name w:val="Strong"/>
    <w:qFormat/>
    <w:uiPriority w:val="22"/>
    <w:rPr>
      <w:b/>
    </w:rPr>
  </w:style>
  <w:style w:type="character" w:styleId="91">
    <w:name w:val="page number"/>
    <w:basedOn w:val="89"/>
    <w:qFormat/>
    <w:uiPriority w:val="0"/>
  </w:style>
  <w:style w:type="character" w:styleId="92">
    <w:name w:val="FollowedHyperlink"/>
    <w:basedOn w:val="89"/>
    <w:semiHidden/>
    <w:unhideWhenUsed/>
    <w:qFormat/>
    <w:uiPriority w:val="0"/>
    <w:rPr>
      <w:color w:val="996600"/>
      <w:u w:val="none"/>
    </w:rPr>
  </w:style>
  <w:style w:type="character" w:styleId="93">
    <w:name w:val="Emphasis"/>
    <w:qFormat/>
    <w:uiPriority w:val="0"/>
    <w:rPr>
      <w:color w:val="CC0000"/>
    </w:rPr>
  </w:style>
  <w:style w:type="character" w:styleId="94">
    <w:name w:val="Hyperlink"/>
    <w:qFormat/>
    <w:uiPriority w:val="99"/>
    <w:rPr>
      <w:color w:val="000000"/>
      <w:u w:val="none"/>
    </w:rPr>
  </w:style>
  <w:style w:type="paragraph" w:customStyle="1" w:styleId="95">
    <w:name w:val="z-窗体顶端1"/>
    <w:basedOn w:val="1"/>
    <w:next w:val="1"/>
    <w:qFormat/>
    <w:uiPriority w:val="0"/>
    <w:pPr>
      <w:widowControl/>
      <w:pBdr>
        <w:bottom w:val="single" w:color="auto" w:sz="6" w:space="1"/>
      </w:pBdr>
      <w:jc w:val="center"/>
    </w:pPr>
    <w:rPr>
      <w:rFonts w:ascii="Arial" w:hAnsi="Arial"/>
      <w:vanish/>
      <w:kern w:val="0"/>
      <w:sz w:val="16"/>
    </w:rPr>
  </w:style>
  <w:style w:type="paragraph" w:customStyle="1" w:styleId="96">
    <w:name w:val="Char"/>
    <w:basedOn w:val="1"/>
    <w:qFormat/>
    <w:uiPriority w:val="0"/>
    <w:pPr>
      <w:tabs>
        <w:tab w:val="left" w:pos="360"/>
      </w:tabs>
    </w:pPr>
    <w:rPr>
      <w:rFonts w:ascii="Courier New" w:hAnsi="Courier New"/>
    </w:rPr>
  </w:style>
  <w:style w:type="paragraph" w:customStyle="1" w:styleId="97">
    <w:name w:val="列出段落11"/>
    <w:basedOn w:val="1"/>
    <w:qFormat/>
    <w:uiPriority w:val="0"/>
    <w:pPr>
      <w:ind w:firstLine="420" w:firstLineChars="200"/>
    </w:pPr>
    <w:rPr>
      <w:rFonts w:ascii="Calibri" w:hAnsi="Calibri"/>
    </w:rPr>
  </w:style>
  <w:style w:type="paragraph" w:customStyle="1" w:styleId="98">
    <w:name w:val="Default"/>
    <w:qFormat/>
    <w:uiPriority w:val="0"/>
    <w:pPr>
      <w:widowControl w:val="0"/>
      <w:autoSpaceDE w:val="0"/>
      <w:autoSpaceDN w:val="0"/>
      <w:adjustRightInd w:val="0"/>
    </w:pPr>
    <w:rPr>
      <w:rFonts w:ascii="仿宋_GB2312" w:hAnsi="Times New Roman" w:eastAsia="仿宋_GB2312" w:cs="Times New Roman"/>
      <w:color w:val="000000"/>
      <w:sz w:val="24"/>
      <w:lang w:val="en-US" w:eastAsia="zh-CN" w:bidi="ar-SA"/>
    </w:rPr>
  </w:style>
  <w:style w:type="paragraph" w:customStyle="1" w:styleId="99">
    <w:name w:val="页眉1"/>
    <w:basedOn w:val="1"/>
    <w:qFormat/>
    <w:uiPriority w:val="0"/>
    <w:pPr>
      <w:pBdr>
        <w:bottom w:val="single" w:color="auto" w:sz="6" w:space="1"/>
      </w:pBdr>
      <w:tabs>
        <w:tab w:val="center" w:pos="4153"/>
        <w:tab w:val="right" w:pos="8306"/>
      </w:tabs>
      <w:snapToGrid w:val="0"/>
      <w:jc w:val="center"/>
    </w:pPr>
    <w:rPr>
      <w:rFonts w:ascii="Calibri" w:hAnsi="Calibri"/>
      <w:sz w:val="18"/>
    </w:rPr>
  </w:style>
  <w:style w:type="paragraph" w:customStyle="1" w:styleId="100">
    <w:name w:val="无间隔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1">
    <w:name w:val="页脚1"/>
    <w:basedOn w:val="1"/>
    <w:qFormat/>
    <w:uiPriority w:val="0"/>
    <w:pPr>
      <w:tabs>
        <w:tab w:val="center" w:pos="4153"/>
        <w:tab w:val="right" w:pos="8306"/>
      </w:tabs>
      <w:snapToGrid w:val="0"/>
      <w:jc w:val="left"/>
    </w:pPr>
    <w:rPr>
      <w:sz w:val="18"/>
    </w:rPr>
  </w:style>
  <w:style w:type="paragraph" w:customStyle="1" w:styleId="102">
    <w:name w:val="列出段落1"/>
    <w:basedOn w:val="1"/>
    <w:qFormat/>
    <w:uiPriority w:val="0"/>
    <w:pPr>
      <w:ind w:firstLine="420" w:firstLineChars="200"/>
    </w:pPr>
  </w:style>
  <w:style w:type="paragraph" w:customStyle="1" w:styleId="103">
    <w:name w:val="p0"/>
    <w:basedOn w:val="1"/>
    <w:qFormat/>
    <w:uiPriority w:val="0"/>
    <w:pPr>
      <w:widowControl/>
    </w:pPr>
    <w:rPr>
      <w:kern w:val="0"/>
    </w:rPr>
  </w:style>
  <w:style w:type="paragraph" w:customStyle="1" w:styleId="104">
    <w:name w:val="列出段落12"/>
    <w:basedOn w:val="1"/>
    <w:qFormat/>
    <w:uiPriority w:val="0"/>
    <w:pPr>
      <w:widowControl/>
      <w:ind w:firstLine="420" w:firstLineChars="200"/>
      <w:jc w:val="left"/>
    </w:pPr>
    <w:rPr>
      <w:rFonts w:ascii="宋体" w:hAnsi="宋体"/>
      <w:kern w:val="0"/>
      <w:sz w:val="24"/>
    </w:rPr>
  </w:style>
  <w:style w:type="paragraph" w:customStyle="1" w:styleId="105">
    <w:name w:val="z-窗体底端1"/>
    <w:basedOn w:val="1"/>
    <w:next w:val="1"/>
    <w:qFormat/>
    <w:uiPriority w:val="0"/>
    <w:pPr>
      <w:widowControl/>
      <w:pBdr>
        <w:top w:val="single" w:color="auto" w:sz="6" w:space="1"/>
      </w:pBdr>
      <w:jc w:val="center"/>
    </w:pPr>
    <w:rPr>
      <w:rFonts w:ascii="Arial" w:hAnsi="Arial"/>
      <w:vanish/>
      <w:kern w:val="0"/>
      <w:sz w:val="16"/>
    </w:rPr>
  </w:style>
  <w:style w:type="character" w:customStyle="1" w:styleId="106">
    <w:name w:val="font01"/>
    <w:qFormat/>
    <w:uiPriority w:val="0"/>
    <w:rPr>
      <w:rFonts w:hint="default" w:ascii="Arial" w:hAnsi="Arial"/>
      <w:b/>
      <w:color w:val="000000"/>
      <w:sz w:val="16"/>
      <w:u w:val="none"/>
    </w:rPr>
  </w:style>
  <w:style w:type="character" w:customStyle="1" w:styleId="107">
    <w:name w:val="txtcontent11"/>
    <w:qFormat/>
    <w:uiPriority w:val="0"/>
    <w:rPr>
      <w:rFonts w:hint="default" w:ascii="ˎ̥" w:hAnsi="ˎ̥"/>
      <w:color w:val="000000"/>
      <w:sz w:val="21"/>
    </w:rPr>
  </w:style>
  <w:style w:type="character" w:customStyle="1" w:styleId="108">
    <w:name w:val="font41"/>
    <w:qFormat/>
    <w:uiPriority w:val="0"/>
    <w:rPr>
      <w:rFonts w:hint="eastAsia" w:ascii="宋体" w:hAnsi="宋体" w:eastAsia="宋体"/>
      <w:b/>
      <w:color w:val="000000"/>
      <w:sz w:val="16"/>
      <w:u w:val="none"/>
    </w:rPr>
  </w:style>
  <w:style w:type="character" w:customStyle="1" w:styleId="109">
    <w:name w:val="font81"/>
    <w:qFormat/>
    <w:uiPriority w:val="0"/>
    <w:rPr>
      <w:rFonts w:hint="eastAsia" w:ascii="宋体" w:hAnsi="宋体" w:eastAsia="宋体"/>
      <w:b/>
      <w:color w:val="000000"/>
      <w:sz w:val="16"/>
      <w:u w:val="none"/>
    </w:rPr>
  </w:style>
  <w:style w:type="character" w:customStyle="1" w:styleId="110">
    <w:name w:val="font61"/>
    <w:qFormat/>
    <w:uiPriority w:val="0"/>
    <w:rPr>
      <w:rFonts w:hint="eastAsia" w:ascii="宋体" w:hAnsi="宋体" w:eastAsia="宋体"/>
      <w:b/>
      <w:color w:val="000000"/>
      <w:sz w:val="16"/>
      <w:u w:val="none"/>
    </w:rPr>
  </w:style>
  <w:style w:type="character" w:customStyle="1" w:styleId="111">
    <w:name w:val="HTML 预设格式 Char"/>
    <w:link w:val="80"/>
    <w:qFormat/>
    <w:uiPriority w:val="99"/>
    <w:rPr>
      <w:rFonts w:ascii="Courier New" w:hAnsi="Courier New"/>
      <w:kern w:val="2"/>
    </w:rPr>
  </w:style>
  <w:style w:type="character" w:customStyle="1" w:styleId="112">
    <w:name w:val="未处理的提及1"/>
    <w:qFormat/>
    <w:uiPriority w:val="0"/>
    <w:rPr>
      <w:color w:val="808080"/>
      <w:shd w:val="clear" w:color="auto" w:fill="E6E6E6"/>
    </w:rPr>
  </w:style>
  <w:style w:type="character" w:customStyle="1" w:styleId="113">
    <w:name w:val="personpopuptrigger"/>
    <w:basedOn w:val="89"/>
    <w:qFormat/>
    <w:uiPriority w:val="0"/>
  </w:style>
  <w:style w:type="character" w:customStyle="1" w:styleId="114">
    <w:name w:val="不明显强调1"/>
    <w:qFormat/>
    <w:uiPriority w:val="0"/>
    <w:rPr>
      <w:i/>
      <w:color w:val="808080"/>
    </w:rPr>
  </w:style>
  <w:style w:type="character" w:customStyle="1" w:styleId="115">
    <w:name w:val="font71"/>
    <w:qFormat/>
    <w:uiPriority w:val="0"/>
    <w:rPr>
      <w:rFonts w:hint="eastAsia" w:ascii="宋体" w:hAnsi="宋体" w:eastAsia="宋体"/>
      <w:b/>
      <w:color w:val="000000"/>
      <w:sz w:val="16"/>
      <w:u w:val="none"/>
    </w:rPr>
  </w:style>
  <w:style w:type="character" w:customStyle="1" w:styleId="116">
    <w:name w:val="页眉 Char"/>
    <w:link w:val="57"/>
    <w:qFormat/>
    <w:uiPriority w:val="0"/>
    <w:rPr>
      <w:rFonts w:ascii="Calibri" w:hAnsi="Calibri" w:eastAsia="宋体"/>
      <w:kern w:val="2"/>
      <w:sz w:val="18"/>
      <w:lang w:val="en-US" w:eastAsia="zh-CN"/>
    </w:rPr>
  </w:style>
  <w:style w:type="character" w:customStyle="1" w:styleId="117">
    <w:name w:val="font51"/>
    <w:qFormat/>
    <w:uiPriority w:val="0"/>
    <w:rPr>
      <w:rFonts w:hint="default" w:ascii="Arial" w:hAnsi="Arial"/>
      <w:b/>
      <w:color w:val="000000"/>
      <w:sz w:val="16"/>
      <w:u w:val="none"/>
    </w:rPr>
  </w:style>
  <w:style w:type="character" w:customStyle="1" w:styleId="118">
    <w:name w:val="font11"/>
    <w:qFormat/>
    <w:uiPriority w:val="0"/>
    <w:rPr>
      <w:rFonts w:hint="default" w:ascii="Arial" w:hAnsi="Arial"/>
      <w:b/>
      <w:color w:val="000000"/>
      <w:sz w:val="16"/>
      <w:u w:val="none"/>
    </w:rPr>
  </w:style>
  <w:style w:type="character" w:customStyle="1" w:styleId="119">
    <w:name w:val="underline1"/>
    <w:qFormat/>
    <w:uiPriority w:val="0"/>
    <w:rPr>
      <w:u w:val="single"/>
    </w:rPr>
  </w:style>
  <w:style w:type="character" w:customStyle="1" w:styleId="120">
    <w:name w:val="font31"/>
    <w:qFormat/>
    <w:uiPriority w:val="0"/>
    <w:rPr>
      <w:rFonts w:hint="eastAsia" w:ascii="宋体" w:hAnsi="宋体" w:eastAsia="宋体"/>
      <w:b/>
      <w:color w:val="000000"/>
      <w:sz w:val="16"/>
      <w:u w:val="none"/>
    </w:rPr>
  </w:style>
  <w:style w:type="character" w:customStyle="1" w:styleId="121">
    <w:name w:val="apple-converted-space"/>
    <w:basedOn w:val="89"/>
    <w:qFormat/>
    <w:uiPriority w:val="0"/>
  </w:style>
  <w:style w:type="character" w:customStyle="1" w:styleId="122">
    <w:name w:val="lbldetailcontent1"/>
    <w:qFormat/>
    <w:uiPriority w:val="0"/>
  </w:style>
  <w:style w:type="character" w:customStyle="1" w:styleId="123">
    <w:name w:val="页码1"/>
    <w:basedOn w:val="89"/>
    <w:qFormat/>
    <w:uiPriority w:val="0"/>
  </w:style>
  <w:style w:type="character" w:customStyle="1" w:styleId="124">
    <w:name w:val="font21"/>
    <w:qFormat/>
    <w:uiPriority w:val="0"/>
    <w:rPr>
      <w:rFonts w:hint="eastAsia" w:ascii="宋体" w:hAnsi="宋体" w:eastAsia="宋体"/>
      <w:b/>
      <w:color w:val="000000"/>
      <w:sz w:val="16"/>
      <w:u w:val="none"/>
    </w:rPr>
  </w:style>
  <w:style w:type="paragraph" w:customStyle="1" w:styleId="125">
    <w:name w:val="列表段落1"/>
    <w:basedOn w:val="1"/>
    <w:unhideWhenUsed/>
    <w:qFormat/>
    <w:uiPriority w:val="99"/>
    <w:pPr>
      <w:ind w:firstLine="420" w:firstLineChars="200"/>
    </w:pPr>
  </w:style>
  <w:style w:type="character" w:customStyle="1" w:styleId="126">
    <w:name w:val="readmail_locationtip"/>
    <w:basedOn w:val="89"/>
    <w:qFormat/>
    <w:uiPriority w:val="0"/>
  </w:style>
  <w:style w:type="character" w:customStyle="1" w:styleId="127">
    <w:name w:val="未处理的提及2"/>
    <w:basedOn w:val="89"/>
    <w:unhideWhenUsed/>
    <w:qFormat/>
    <w:uiPriority w:val="99"/>
    <w:rPr>
      <w:color w:val="605E5C"/>
      <w:shd w:val="clear" w:color="auto" w:fill="E1DFDD"/>
    </w:rPr>
  </w:style>
  <w:style w:type="paragraph" w:styleId="1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E7702B-B456-4B91-9B68-A8E0FACBA861}">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Company>Microsoft</Company>
  <Pages>7</Pages>
  <Words>1229</Words>
  <Characters>7006</Characters>
  <Lines>58</Lines>
  <Paragraphs>16</Paragraphs>
  <TotalTime>167</TotalTime>
  <ScaleCrop>false</ScaleCrop>
  <LinksUpToDate>false</LinksUpToDate>
  <CharactersWithSpaces>8219</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2021-03-31T00:43:00Z</dcterms:created>
  <dc:creator>AutoBVT</dc:creator>
  <cp:lastModifiedBy>Jedi</cp:lastModifiedBy>
  <cp:lastPrinted>2021-02-01T00:40:00Z</cp:lastPrinted>
  <dcterms:modified xsi:type="dcterms:W3CDTF">2021-05-10T04:44:28Z</dcterms:modified>
  <dc:title>避险拉动，金牛隐现</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1EDACF8D866446DE822E34AADD20E337</vt:lpwstr>
  </property>
</Properties>
</file>